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2D2219" w14:paraId="2A131A54" w14:textId="77777777" w:rsidTr="00CE509E">
        <w:trPr>
          <w:trHeight w:val="852"/>
          <w:jc w:val="center"/>
        </w:trPr>
        <w:tc>
          <w:tcPr>
            <w:tcW w:w="6940" w:type="dxa"/>
            <w:vMerge w:val="restart"/>
            <w:tcBorders>
              <w:right w:val="single" w:sz="4" w:space="0" w:color="auto"/>
            </w:tcBorders>
          </w:tcPr>
          <w:p w14:paraId="38C3D2BA" w14:textId="77777777" w:rsidR="000A03B2" w:rsidRPr="002D2219" w:rsidRDefault="000A03B2" w:rsidP="00DE264A">
            <w:pPr>
              <w:tabs>
                <w:tab w:val="left" w:pos="-108"/>
              </w:tabs>
              <w:ind w:left="-108"/>
              <w:jc w:val="left"/>
              <w:rPr>
                <w:rFonts w:cs="Arial"/>
                <w:b/>
                <w:bCs/>
                <w:i/>
                <w:iCs/>
                <w:color w:val="000066"/>
                <w:sz w:val="12"/>
                <w:szCs w:val="12"/>
                <w:lang w:eastAsia="it-IT"/>
              </w:rPr>
            </w:pPr>
            <w:r w:rsidRPr="002D2219">
              <w:rPr>
                <w:rFonts w:ascii="AdvP6960" w:hAnsi="AdvP6960" w:cs="AdvP6960"/>
                <w:noProof/>
                <w:color w:val="241F20"/>
                <w:szCs w:val="18"/>
                <w:lang w:val="hr-HR" w:eastAsia="hr-H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D2219">
              <w:rPr>
                <w:rFonts w:ascii="AdvP6960" w:hAnsi="AdvP6960" w:cs="AdvP6960"/>
                <w:color w:val="241F20"/>
                <w:szCs w:val="18"/>
                <w:lang w:eastAsia="it-IT"/>
              </w:rPr>
              <w:t xml:space="preserve"> </w:t>
            </w:r>
            <w:r w:rsidRPr="002D2219">
              <w:rPr>
                <w:rFonts w:cs="Arial"/>
                <w:b/>
                <w:bCs/>
                <w:i/>
                <w:iCs/>
                <w:color w:val="000066"/>
                <w:sz w:val="24"/>
                <w:szCs w:val="24"/>
                <w:lang w:eastAsia="it-IT"/>
              </w:rPr>
              <w:t>CHEMICAL ENGINEERING</w:t>
            </w:r>
            <w:r w:rsidRPr="002D2219">
              <w:rPr>
                <w:rFonts w:cs="Arial"/>
                <w:b/>
                <w:bCs/>
                <w:i/>
                <w:iCs/>
                <w:color w:val="0033FF"/>
                <w:sz w:val="24"/>
                <w:szCs w:val="24"/>
                <w:lang w:eastAsia="it-IT"/>
              </w:rPr>
              <w:t xml:space="preserve"> </w:t>
            </w:r>
            <w:r w:rsidRPr="002D2219">
              <w:rPr>
                <w:rFonts w:cs="Arial"/>
                <w:b/>
                <w:bCs/>
                <w:i/>
                <w:iCs/>
                <w:color w:val="666666"/>
                <w:sz w:val="24"/>
                <w:szCs w:val="24"/>
                <w:lang w:eastAsia="it-IT"/>
              </w:rPr>
              <w:t>TRANSACTIONS</w:t>
            </w:r>
            <w:r w:rsidRPr="002D2219">
              <w:rPr>
                <w:color w:val="333333"/>
                <w:sz w:val="24"/>
                <w:szCs w:val="24"/>
                <w:lang w:eastAsia="it-IT"/>
              </w:rPr>
              <w:t xml:space="preserve"> </w:t>
            </w:r>
            <w:r w:rsidRPr="002D2219">
              <w:rPr>
                <w:rFonts w:cs="Arial"/>
                <w:b/>
                <w:bCs/>
                <w:i/>
                <w:iCs/>
                <w:color w:val="000066"/>
                <w:sz w:val="27"/>
                <w:szCs w:val="27"/>
                <w:lang w:eastAsia="it-IT"/>
              </w:rPr>
              <w:br/>
            </w:r>
          </w:p>
          <w:p w14:paraId="4B780582" w14:textId="530285EB" w:rsidR="000A03B2" w:rsidRPr="002D2219" w:rsidRDefault="00A76EFC" w:rsidP="001D21AF">
            <w:pPr>
              <w:tabs>
                <w:tab w:val="left" w:pos="-108"/>
              </w:tabs>
              <w:ind w:left="-108"/>
              <w:rPr>
                <w:rFonts w:cs="Arial"/>
                <w:b/>
                <w:bCs/>
                <w:i/>
                <w:iCs/>
                <w:color w:val="000066"/>
                <w:sz w:val="22"/>
                <w:szCs w:val="22"/>
                <w:lang w:eastAsia="it-IT"/>
              </w:rPr>
            </w:pPr>
            <w:r w:rsidRPr="002D2219">
              <w:rPr>
                <w:rFonts w:cs="Arial"/>
                <w:b/>
                <w:bCs/>
                <w:i/>
                <w:iCs/>
                <w:color w:val="000066"/>
                <w:sz w:val="22"/>
                <w:szCs w:val="22"/>
                <w:lang w:eastAsia="it-IT"/>
              </w:rPr>
              <w:t xml:space="preserve">VOL. </w:t>
            </w:r>
            <w:r w:rsidR="0030152C" w:rsidRPr="002D2219">
              <w:rPr>
                <w:rFonts w:cs="Arial"/>
                <w:b/>
                <w:bCs/>
                <w:i/>
                <w:iCs/>
                <w:color w:val="000066"/>
                <w:sz w:val="22"/>
                <w:szCs w:val="22"/>
                <w:lang w:eastAsia="it-IT"/>
              </w:rPr>
              <w:t xml:space="preserve">   </w:t>
            </w:r>
            <w:r w:rsidR="007B48F9" w:rsidRPr="002D2219">
              <w:rPr>
                <w:rFonts w:cs="Arial"/>
                <w:b/>
                <w:bCs/>
                <w:i/>
                <w:iCs/>
                <w:color w:val="000066"/>
                <w:sz w:val="22"/>
                <w:szCs w:val="22"/>
                <w:lang w:eastAsia="it-IT"/>
              </w:rPr>
              <w:t>,</w:t>
            </w:r>
            <w:r w:rsidR="00FA5F5F" w:rsidRPr="002D2219">
              <w:rPr>
                <w:rFonts w:cs="Arial"/>
                <w:b/>
                <w:bCs/>
                <w:i/>
                <w:iCs/>
                <w:color w:val="000066"/>
                <w:sz w:val="22"/>
                <w:szCs w:val="22"/>
                <w:lang w:eastAsia="it-IT"/>
              </w:rPr>
              <w:t xml:space="preserve"> </w:t>
            </w:r>
            <w:r w:rsidR="0030152C" w:rsidRPr="002D2219">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2D2219" w:rsidRDefault="000A03B2" w:rsidP="00CD5FE2">
            <w:pPr>
              <w:spacing w:line="140" w:lineRule="atLeast"/>
              <w:jc w:val="right"/>
              <w:rPr>
                <w:rFonts w:cs="Arial"/>
                <w:sz w:val="14"/>
                <w:szCs w:val="14"/>
              </w:rPr>
            </w:pPr>
            <w:r w:rsidRPr="002D2219">
              <w:rPr>
                <w:rFonts w:cs="Arial"/>
                <w:sz w:val="14"/>
                <w:szCs w:val="14"/>
              </w:rPr>
              <w:t>A publication of</w:t>
            </w:r>
          </w:p>
          <w:p w14:paraId="599E5441" w14:textId="77777777" w:rsidR="000A03B2" w:rsidRPr="002D2219" w:rsidRDefault="000A03B2" w:rsidP="00CD5FE2">
            <w:pPr>
              <w:jc w:val="right"/>
            </w:pPr>
            <w:r w:rsidRPr="002D2219">
              <w:rPr>
                <w:noProof/>
                <w:lang w:val="hr-HR" w:eastAsia="hr-H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2D2219" w14:paraId="380FA3CD" w14:textId="77777777" w:rsidTr="00CE509E">
        <w:trPr>
          <w:trHeight w:val="567"/>
          <w:jc w:val="center"/>
        </w:trPr>
        <w:tc>
          <w:tcPr>
            <w:tcW w:w="6940" w:type="dxa"/>
            <w:vMerge/>
            <w:tcBorders>
              <w:right w:val="single" w:sz="4" w:space="0" w:color="auto"/>
            </w:tcBorders>
          </w:tcPr>
          <w:p w14:paraId="39E5E4C1" w14:textId="77777777" w:rsidR="000A03B2" w:rsidRPr="002D2219"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2D2219" w:rsidRDefault="000A03B2" w:rsidP="00CD5FE2">
            <w:pPr>
              <w:spacing w:line="140" w:lineRule="atLeast"/>
              <w:jc w:val="right"/>
              <w:rPr>
                <w:rFonts w:cs="Arial"/>
                <w:sz w:val="14"/>
                <w:szCs w:val="14"/>
              </w:rPr>
            </w:pPr>
            <w:r w:rsidRPr="002D2219">
              <w:rPr>
                <w:rFonts w:cs="Arial"/>
                <w:sz w:val="14"/>
                <w:szCs w:val="14"/>
              </w:rPr>
              <w:t>The Italian Association</w:t>
            </w:r>
          </w:p>
          <w:p w14:paraId="7522B1D2" w14:textId="77777777" w:rsidR="000A03B2" w:rsidRPr="002D2219" w:rsidRDefault="000A03B2" w:rsidP="00CD5FE2">
            <w:pPr>
              <w:spacing w:line="140" w:lineRule="atLeast"/>
              <w:jc w:val="right"/>
              <w:rPr>
                <w:rFonts w:cs="Arial"/>
                <w:sz w:val="14"/>
                <w:szCs w:val="14"/>
              </w:rPr>
            </w:pPr>
            <w:r w:rsidRPr="002D2219">
              <w:rPr>
                <w:rFonts w:cs="Arial"/>
                <w:sz w:val="14"/>
                <w:szCs w:val="14"/>
              </w:rPr>
              <w:t>of Chemical Engineering</w:t>
            </w:r>
          </w:p>
          <w:p w14:paraId="4F0CC5DE" w14:textId="47FDB2FC" w:rsidR="000A03B2" w:rsidRPr="002D2219" w:rsidRDefault="000D0268" w:rsidP="00CD5FE2">
            <w:pPr>
              <w:spacing w:line="140" w:lineRule="atLeast"/>
              <w:jc w:val="right"/>
              <w:rPr>
                <w:rFonts w:cs="Arial"/>
                <w:sz w:val="13"/>
                <w:szCs w:val="13"/>
              </w:rPr>
            </w:pPr>
            <w:r w:rsidRPr="002D2219">
              <w:rPr>
                <w:rFonts w:cs="Arial"/>
                <w:sz w:val="13"/>
                <w:szCs w:val="13"/>
              </w:rPr>
              <w:t>Online at www.cetjournal.it</w:t>
            </w:r>
          </w:p>
        </w:tc>
      </w:tr>
      <w:tr w:rsidR="000A03B2" w:rsidRPr="002D2219" w14:paraId="2D1B7169" w14:textId="77777777" w:rsidTr="00CE509E">
        <w:trPr>
          <w:trHeight w:val="68"/>
          <w:jc w:val="center"/>
        </w:trPr>
        <w:tc>
          <w:tcPr>
            <w:tcW w:w="8782" w:type="dxa"/>
            <w:gridSpan w:val="2"/>
          </w:tcPr>
          <w:p w14:paraId="1D8DD3C9" w14:textId="72C518CF" w:rsidR="00AA7D26" w:rsidRPr="002D2219" w:rsidRDefault="00AA7D26" w:rsidP="00AA7D26">
            <w:pPr>
              <w:ind w:left="-107"/>
              <w:outlineLvl w:val="2"/>
              <w:rPr>
                <w:rFonts w:ascii="Tahoma" w:hAnsi="Tahoma" w:cs="Tahoma"/>
                <w:bCs/>
                <w:color w:val="000000"/>
                <w:sz w:val="14"/>
                <w:szCs w:val="14"/>
                <w:lang w:eastAsia="it-IT"/>
              </w:rPr>
            </w:pPr>
            <w:r w:rsidRPr="002D2219">
              <w:rPr>
                <w:rFonts w:ascii="Tahoma" w:hAnsi="Tahoma" w:cs="Tahoma"/>
                <w:iCs/>
                <w:color w:val="333333"/>
                <w:sz w:val="14"/>
                <w:szCs w:val="14"/>
                <w:lang w:eastAsia="it-IT"/>
              </w:rPr>
              <w:t>Guest Editor:</w:t>
            </w:r>
            <w:r w:rsidRPr="002D2219">
              <w:rPr>
                <w:rFonts w:ascii="Tahoma" w:hAnsi="Tahoma" w:cs="Tahoma"/>
                <w:color w:val="000000"/>
                <w:sz w:val="14"/>
                <w:szCs w:val="14"/>
                <w:shd w:val="clear" w:color="auto" w:fill="FFFFFF"/>
              </w:rPr>
              <w:t xml:space="preserve"> </w:t>
            </w:r>
            <w:r w:rsidRPr="002D2219">
              <w:rPr>
                <w:rFonts w:ascii="Tahoma" w:hAnsi="Tahoma" w:cs="Tahoma"/>
                <w:sz w:val="14"/>
                <w:szCs w:val="14"/>
              </w:rPr>
              <w:t>Sauro Pierucci</w:t>
            </w:r>
          </w:p>
          <w:p w14:paraId="1B0F1814" w14:textId="650290B9" w:rsidR="000A03B2" w:rsidRPr="002D2219" w:rsidRDefault="00AA7D26" w:rsidP="00AA7D26">
            <w:pPr>
              <w:tabs>
                <w:tab w:val="left" w:pos="-108"/>
              </w:tabs>
              <w:spacing w:line="140" w:lineRule="atLeast"/>
              <w:ind w:left="-107"/>
              <w:jc w:val="left"/>
            </w:pPr>
            <w:r w:rsidRPr="002D2219">
              <w:rPr>
                <w:rFonts w:ascii="Tahoma" w:hAnsi="Tahoma" w:cs="Tahoma"/>
                <w:iCs/>
                <w:color w:val="333333"/>
                <w:sz w:val="14"/>
                <w:szCs w:val="14"/>
                <w:lang w:eastAsia="it-IT"/>
              </w:rPr>
              <w:t>Copyright © 2023, AIDIC Servizi S.r.l.</w:t>
            </w:r>
            <w:r w:rsidRPr="002D2219">
              <w:rPr>
                <w:rFonts w:ascii="Tahoma" w:hAnsi="Tahoma" w:cs="Tahoma"/>
                <w:iCs/>
                <w:color w:val="333333"/>
                <w:sz w:val="14"/>
                <w:szCs w:val="14"/>
                <w:lang w:eastAsia="it-IT"/>
              </w:rPr>
              <w:br/>
            </w:r>
            <w:r w:rsidRPr="002D2219">
              <w:rPr>
                <w:rFonts w:ascii="Tahoma" w:hAnsi="Tahoma" w:cs="Tahoma"/>
                <w:b/>
                <w:iCs/>
                <w:color w:val="000000"/>
                <w:sz w:val="14"/>
                <w:szCs w:val="14"/>
                <w:lang w:eastAsia="it-IT"/>
              </w:rPr>
              <w:t>ISBN</w:t>
            </w:r>
            <w:r w:rsidRPr="002D2219">
              <w:rPr>
                <w:rFonts w:ascii="Tahoma" w:hAnsi="Tahoma" w:cs="Tahoma"/>
                <w:iCs/>
                <w:color w:val="000000"/>
                <w:sz w:val="14"/>
                <w:szCs w:val="14"/>
                <w:lang w:eastAsia="it-IT"/>
              </w:rPr>
              <w:t xml:space="preserve"> </w:t>
            </w:r>
            <w:r w:rsidRPr="002D2219">
              <w:rPr>
                <w:rFonts w:ascii="Tahoma" w:hAnsi="Tahoma" w:cs="Tahoma"/>
                <w:sz w:val="14"/>
                <w:szCs w:val="14"/>
              </w:rPr>
              <w:t>978-88-95608-98-3</w:t>
            </w:r>
            <w:r w:rsidRPr="002D2219">
              <w:rPr>
                <w:rFonts w:ascii="Tahoma" w:hAnsi="Tahoma" w:cs="Tahoma"/>
                <w:iCs/>
                <w:color w:val="333333"/>
                <w:sz w:val="14"/>
                <w:szCs w:val="14"/>
                <w:lang w:eastAsia="it-IT"/>
              </w:rPr>
              <w:t xml:space="preserve">; </w:t>
            </w:r>
            <w:r w:rsidRPr="002D2219">
              <w:rPr>
                <w:rFonts w:ascii="Tahoma" w:hAnsi="Tahoma" w:cs="Tahoma"/>
                <w:b/>
                <w:iCs/>
                <w:color w:val="333333"/>
                <w:sz w:val="14"/>
                <w:szCs w:val="14"/>
                <w:lang w:eastAsia="it-IT"/>
              </w:rPr>
              <w:t>ISSN</w:t>
            </w:r>
            <w:r w:rsidRPr="002D2219">
              <w:rPr>
                <w:rFonts w:ascii="Tahoma" w:hAnsi="Tahoma" w:cs="Tahoma"/>
                <w:iCs/>
                <w:color w:val="333333"/>
                <w:sz w:val="14"/>
                <w:szCs w:val="14"/>
                <w:lang w:eastAsia="it-IT"/>
              </w:rPr>
              <w:t xml:space="preserve"> 2283-9216</w:t>
            </w:r>
          </w:p>
        </w:tc>
      </w:tr>
    </w:tbl>
    <w:p w14:paraId="2E667253" w14:textId="23908687" w:rsidR="00E978D0" w:rsidRPr="002D2219" w:rsidRDefault="00CE509E" w:rsidP="00E978D0">
      <w:pPr>
        <w:pStyle w:val="CETTitle"/>
      </w:pPr>
      <w:r w:rsidRPr="002D2219">
        <w:t xml:space="preserve">Software-assisted determination of process dynamic model and PID tuning parameters for process control </w:t>
      </w:r>
    </w:p>
    <w:p w14:paraId="28C864AC" w14:textId="076D1256" w:rsidR="00CE509E" w:rsidRPr="002D2219" w:rsidRDefault="00CE509E" w:rsidP="00B57E6F">
      <w:pPr>
        <w:pStyle w:val="CETAddress"/>
        <w:rPr>
          <w:noProof w:val="0"/>
          <w:sz w:val="24"/>
        </w:rPr>
      </w:pPr>
      <w:r w:rsidRPr="002D2219">
        <w:rPr>
          <w:noProof w:val="0"/>
          <w:sz w:val="24"/>
        </w:rPr>
        <w:t>Antonija Čelan</w:t>
      </w:r>
      <w:r w:rsidRPr="002D2219">
        <w:rPr>
          <w:noProof w:val="0"/>
          <w:sz w:val="24"/>
          <w:vertAlign w:val="superscript"/>
        </w:rPr>
        <w:t>a*</w:t>
      </w:r>
      <w:r w:rsidRPr="002D2219">
        <w:rPr>
          <w:noProof w:val="0"/>
          <w:sz w:val="24"/>
        </w:rPr>
        <w:t>, Michele Miccio</w:t>
      </w:r>
      <w:r w:rsidRPr="002D2219">
        <w:rPr>
          <w:noProof w:val="0"/>
          <w:sz w:val="24"/>
          <w:vertAlign w:val="superscript"/>
        </w:rPr>
        <w:t>b</w:t>
      </w:r>
      <w:r w:rsidRPr="002D2219">
        <w:rPr>
          <w:noProof w:val="0"/>
          <w:sz w:val="24"/>
        </w:rPr>
        <w:t>, Marija Ćosić</w:t>
      </w:r>
      <w:r w:rsidRPr="002D2219">
        <w:rPr>
          <w:noProof w:val="0"/>
          <w:sz w:val="24"/>
          <w:vertAlign w:val="superscript"/>
        </w:rPr>
        <w:t>a</w:t>
      </w:r>
      <w:r w:rsidRPr="002D2219">
        <w:rPr>
          <w:noProof w:val="0"/>
          <w:sz w:val="24"/>
        </w:rPr>
        <w:t>, Nenad Kuzmanić</w:t>
      </w:r>
      <w:r w:rsidRPr="002D2219">
        <w:rPr>
          <w:noProof w:val="0"/>
          <w:sz w:val="24"/>
          <w:vertAlign w:val="superscript"/>
        </w:rPr>
        <w:t>a</w:t>
      </w:r>
      <w:r w:rsidRPr="002D2219">
        <w:rPr>
          <w:noProof w:val="0"/>
          <w:sz w:val="24"/>
        </w:rPr>
        <w:t xml:space="preserve"> </w:t>
      </w:r>
    </w:p>
    <w:p w14:paraId="05BAF754" w14:textId="77777777" w:rsidR="00CE509E" w:rsidRPr="002D2219" w:rsidRDefault="00CE509E" w:rsidP="00CE509E">
      <w:pPr>
        <w:pStyle w:val="CETAddress"/>
        <w:rPr>
          <w:noProof w:val="0"/>
        </w:rPr>
      </w:pPr>
      <w:r w:rsidRPr="002D2219">
        <w:rPr>
          <w:noProof w:val="0"/>
          <w:vertAlign w:val="superscript"/>
        </w:rPr>
        <w:t xml:space="preserve">a </w:t>
      </w:r>
      <w:r w:rsidRPr="002D2219">
        <w:rPr>
          <w:noProof w:val="0"/>
        </w:rPr>
        <w:t>University of Split – Department of Chemical Engineering, Ruđera Boškovića 35, 21000 Split, Croatia</w:t>
      </w:r>
    </w:p>
    <w:p w14:paraId="70AF11E0" w14:textId="77777777" w:rsidR="00CE509E" w:rsidRPr="002D2219" w:rsidRDefault="00CE509E" w:rsidP="00CE509E">
      <w:pPr>
        <w:pStyle w:val="CETAddress"/>
        <w:rPr>
          <w:noProof w:val="0"/>
        </w:rPr>
      </w:pPr>
      <w:r w:rsidRPr="002D2219">
        <w:rPr>
          <w:noProof w:val="0"/>
          <w:vertAlign w:val="superscript"/>
        </w:rPr>
        <w:t xml:space="preserve">b </w:t>
      </w:r>
      <w:r w:rsidRPr="002D2219">
        <w:rPr>
          <w:noProof w:val="0"/>
        </w:rPr>
        <w:t xml:space="preserve">University of Salerno – Department of Industrial Engineering, Via Giovanni Paolo II 132, 84084 Fisciano (SA), Italy </w:t>
      </w:r>
    </w:p>
    <w:p w14:paraId="313685B3" w14:textId="77777777" w:rsidR="00CE509E" w:rsidRPr="002D2219" w:rsidRDefault="00477BD9" w:rsidP="00CE509E">
      <w:pPr>
        <w:pStyle w:val="CETAddress"/>
        <w:rPr>
          <w:rStyle w:val="Hyperlink"/>
          <w:noProof w:val="0"/>
        </w:rPr>
      </w:pPr>
      <w:hyperlink r:id="rId10" w:history="1">
        <w:r w:rsidR="00CE509E" w:rsidRPr="002D2219">
          <w:rPr>
            <w:rStyle w:val="Hyperlink"/>
            <w:noProof w:val="0"/>
          </w:rPr>
          <w:t>antonija.celan@ktf-split.hr</w:t>
        </w:r>
      </w:hyperlink>
    </w:p>
    <w:p w14:paraId="77EBC42D" w14:textId="77777777" w:rsidR="00CE509E" w:rsidRPr="002D2219" w:rsidRDefault="00CE509E" w:rsidP="00CE509E">
      <w:pPr>
        <w:pStyle w:val="CETBodytext"/>
        <w:rPr>
          <w:rStyle w:val="Hyperlink"/>
          <w:lang w:val="en-GB"/>
        </w:rPr>
      </w:pPr>
    </w:p>
    <w:p w14:paraId="5DE605FC" w14:textId="77777777" w:rsidR="002E18CC" w:rsidRPr="002D2219" w:rsidRDefault="002E18CC" w:rsidP="00CE509E">
      <w:pPr>
        <w:pStyle w:val="CETBodytext"/>
        <w:rPr>
          <w:lang w:val="en-GB"/>
        </w:rPr>
      </w:pPr>
    </w:p>
    <w:p w14:paraId="3B053045" w14:textId="77777777" w:rsidR="002E18CC" w:rsidRPr="002D2219" w:rsidRDefault="002E18CC" w:rsidP="002E18CC">
      <w:pPr>
        <w:pStyle w:val="CETBodytext"/>
        <w:rPr>
          <w:lang w:val="en-GB"/>
        </w:rPr>
      </w:pPr>
    </w:p>
    <w:p w14:paraId="511997B0" w14:textId="0709AA15" w:rsidR="002E18CC" w:rsidRPr="002D2219" w:rsidRDefault="009B7903" w:rsidP="002E18CC">
      <w:pPr>
        <w:pStyle w:val="CETBodytext"/>
        <w:rPr>
          <w:lang w:val="en-GB"/>
        </w:rPr>
      </w:pPr>
      <w:r>
        <w:rPr>
          <w:lang w:val="en-GB"/>
        </w:rPr>
        <w:t xml:space="preserve">The feedback </w:t>
      </w:r>
      <w:r w:rsidRPr="002D2219">
        <w:rPr>
          <w:lang w:val="en-GB"/>
        </w:rPr>
        <w:t>control</w:t>
      </w:r>
      <w:r>
        <w:rPr>
          <w:lang w:val="en-GB"/>
        </w:rPr>
        <w:t xml:space="preserve"> of </w:t>
      </w:r>
      <w:r w:rsidRPr="002D2219">
        <w:rPr>
          <w:lang w:val="en-GB"/>
        </w:rPr>
        <w:t>temperature in</w:t>
      </w:r>
      <w:r>
        <w:rPr>
          <w:lang w:val="en-GB"/>
        </w:rPr>
        <w:t xml:space="preserve"> a simulated</w:t>
      </w:r>
      <w:r w:rsidRPr="002D2219">
        <w:rPr>
          <w:lang w:val="en-GB"/>
        </w:rPr>
        <w:t xml:space="preserve"> batch reactor was studied</w:t>
      </w:r>
      <w:r>
        <w:rPr>
          <w:lang w:val="en-GB"/>
        </w:rPr>
        <w:t xml:space="preserve"> in a class of the master’s degree in Chemical Engineering for educational purposes</w:t>
      </w:r>
      <w:r w:rsidRPr="002D2219">
        <w:rPr>
          <w:lang w:val="en-GB"/>
        </w:rPr>
        <w:t xml:space="preserve">. </w:t>
      </w:r>
      <w:r w:rsidR="002E18CC" w:rsidRPr="002D2219">
        <w:rPr>
          <w:lang w:val="en-GB"/>
        </w:rPr>
        <w:t xml:space="preserve">The process was simulated in real-time </w:t>
      </w:r>
      <w:r>
        <w:rPr>
          <w:lang w:val="en-GB"/>
        </w:rPr>
        <w:t>by means of the</w:t>
      </w:r>
      <w:r w:rsidR="002E18CC" w:rsidRPr="002D2219">
        <w:rPr>
          <w:lang w:val="en-GB"/>
        </w:rPr>
        <w:t xml:space="preserve"> software </w:t>
      </w:r>
      <w:r w:rsidR="009B0FCF" w:rsidRPr="002D2219">
        <w:rPr>
          <w:lang w:val="en-GB"/>
        </w:rPr>
        <w:t xml:space="preserve">Simcet </w:t>
      </w:r>
      <w:r w:rsidR="002E18CC" w:rsidRPr="002D2219">
        <w:rPr>
          <w:lang w:val="en-GB"/>
        </w:rPr>
        <w:t xml:space="preserve">developed by PiControl Solutions LLC where a step test was performed in open-loop. The dynamic response of the process output (temperature) was observed and transfer function parameters were visually estimated and discussed. In the second part of the work, the dynamic response was fitted by a First Order Plus Dead Time model in </w:t>
      </w:r>
      <w:r>
        <w:rPr>
          <w:lang w:val="en-GB"/>
        </w:rPr>
        <w:t xml:space="preserve">the software </w:t>
      </w:r>
      <w:r w:rsidR="002E18CC" w:rsidRPr="002D2219">
        <w:rPr>
          <w:lang w:val="en-GB"/>
        </w:rPr>
        <w:t>PITOPS, by using the System Identification module. Determined transfer function parameters were compared to the ones visually estimated. Finally, the second module available in PITOPS, PID/APC Optimization allowed for determination of PID tuning parameters for several different tuning criteria (</w:t>
      </w:r>
      <w:r>
        <w:rPr>
          <w:lang w:val="en-GB"/>
        </w:rPr>
        <w:t xml:space="preserve">e.g. </w:t>
      </w:r>
      <w:r w:rsidR="002E18CC" w:rsidRPr="002D2219">
        <w:rPr>
          <w:lang w:val="en-GB"/>
        </w:rPr>
        <w:t xml:space="preserve">IAE, RO). The dynamic response of the process upon a </w:t>
      </w:r>
      <w:r w:rsidR="00227A65">
        <w:rPr>
          <w:lang w:val="en-GB"/>
        </w:rPr>
        <w:t>set-point</w:t>
      </w:r>
      <w:r w:rsidR="002E18CC" w:rsidRPr="002D2219">
        <w:rPr>
          <w:lang w:val="en-GB"/>
        </w:rPr>
        <w:t xml:space="preserve"> change was simulated in closed-loop, </w:t>
      </w:r>
      <w:r w:rsidRPr="002D2219">
        <w:rPr>
          <w:lang w:val="en-GB"/>
        </w:rPr>
        <w:t>i.e.,</w:t>
      </w:r>
      <w:r w:rsidR="002E18CC" w:rsidRPr="002D2219">
        <w:rPr>
          <w:lang w:val="en-GB"/>
        </w:rPr>
        <w:t xml:space="preserve"> with controller in automatic mode. Finally, outputs for all tuning criteria applied were compared and discussed in detail. </w:t>
      </w:r>
    </w:p>
    <w:p w14:paraId="5DDD25DC" w14:textId="77777777" w:rsidR="002E18CC" w:rsidRPr="002D2219" w:rsidRDefault="002E18CC" w:rsidP="002E18CC">
      <w:pPr>
        <w:pStyle w:val="CETBodytext"/>
        <w:rPr>
          <w:lang w:val="en-GB"/>
        </w:rPr>
      </w:pPr>
    </w:p>
    <w:p w14:paraId="08024A7B" w14:textId="000BF1EC" w:rsidR="002E18CC" w:rsidRPr="002D2219" w:rsidRDefault="002E18CC" w:rsidP="002E18CC">
      <w:pPr>
        <w:pStyle w:val="CETBodytext"/>
        <w:rPr>
          <w:lang w:val="en-GB"/>
        </w:rPr>
      </w:pPr>
      <w:r w:rsidRPr="002D2219">
        <w:rPr>
          <w:lang w:val="en-GB"/>
        </w:rPr>
        <w:t xml:space="preserve">The use of mentioned software as a teaching tool in Process Control course was found to be quite beneficial. Students were given an opportunity to gain basic but very practical skills which are essential for future process engineers. Also, the fact that these programs were used for optimization of processes in several large industrial plants in Croatia (Rijeka Refinery, Pliva, Cemex, Hospira/Pfizer, Xellia, etc.), made students involved in the exercises, but also </w:t>
      </w:r>
      <w:r w:rsidR="009B7903">
        <w:rPr>
          <w:lang w:val="en-GB"/>
        </w:rPr>
        <w:t xml:space="preserve">more interested </w:t>
      </w:r>
      <w:r w:rsidRPr="002D2219">
        <w:rPr>
          <w:lang w:val="en-GB"/>
        </w:rPr>
        <w:t xml:space="preserve">in the Process Control course itself. </w:t>
      </w:r>
    </w:p>
    <w:p w14:paraId="5AF01731" w14:textId="77777777" w:rsidR="002E18CC" w:rsidRPr="002D2219" w:rsidRDefault="002E18CC" w:rsidP="002E18CC">
      <w:pPr>
        <w:pStyle w:val="CETBodytext"/>
        <w:rPr>
          <w:lang w:val="en-GB"/>
        </w:rPr>
      </w:pPr>
    </w:p>
    <w:p w14:paraId="498CF5CE" w14:textId="1AE71493" w:rsidR="002E18CC" w:rsidRDefault="002E18CC" w:rsidP="002E18CC">
      <w:pPr>
        <w:pStyle w:val="CETBodytext"/>
        <w:rPr>
          <w:lang w:val="en-GB"/>
        </w:rPr>
      </w:pPr>
      <w:r w:rsidRPr="002D2219">
        <w:rPr>
          <w:lang w:val="en-GB"/>
        </w:rPr>
        <w:t xml:space="preserve">KEYWORDS: process control, dynamical model, PID tuning, feedback control, </w:t>
      </w:r>
      <w:r w:rsidR="009B7903">
        <w:rPr>
          <w:lang w:val="en-GB"/>
        </w:rPr>
        <w:t>learning by doing.</w:t>
      </w:r>
    </w:p>
    <w:p w14:paraId="2E0D10B6" w14:textId="77777777" w:rsidR="00985FDD" w:rsidRPr="002D2219" w:rsidRDefault="00985FDD" w:rsidP="002E18CC">
      <w:pPr>
        <w:pStyle w:val="CETBodytext"/>
        <w:rPr>
          <w:lang w:val="en-GB"/>
        </w:rPr>
      </w:pPr>
    </w:p>
    <w:p w14:paraId="7A2EE5FB" w14:textId="29C237E5" w:rsidR="002E18CC" w:rsidRPr="002D2219" w:rsidRDefault="002E18CC" w:rsidP="002E18CC">
      <w:pPr>
        <w:pStyle w:val="CETHeading1"/>
        <w:rPr>
          <w:lang w:val="en-GB"/>
        </w:rPr>
      </w:pPr>
      <w:r w:rsidRPr="002D2219">
        <w:rPr>
          <w:lang w:val="en-GB"/>
        </w:rPr>
        <w:t>Introduction</w:t>
      </w:r>
    </w:p>
    <w:p w14:paraId="666B381A" w14:textId="5DCFECC7" w:rsidR="00F8106B" w:rsidRDefault="009B7903" w:rsidP="004C519E">
      <w:pPr>
        <w:pStyle w:val="CETBodytext"/>
      </w:pPr>
      <w:r w:rsidRPr="002D2219">
        <w:rPr>
          <w:lang w:val="en-GB"/>
        </w:rPr>
        <w:t xml:space="preserve">An analysis of process dynamics can be considered as a prerequisite for successful process control. Most processes in chemical and other related industries are in unsteady-state, and thus, are described by dynamical models. These models represent a connection of process input (cause) and process output, which can be </w:t>
      </w:r>
      <w:r w:rsidRPr="005675B5">
        <w:rPr>
          <w:lang w:val="en-GB"/>
        </w:rPr>
        <w:t>considered as an effect. For the purpose of process control, most processes in chemical and other related industries can be described by simplified dynamic models rather than developing complicated mathematical models, described by partial differential equations which can be difficult to solve</w:t>
      </w:r>
      <w:r w:rsidR="001A3886" w:rsidRPr="005675B5">
        <w:rPr>
          <w:lang w:val="en-GB"/>
        </w:rPr>
        <w:t xml:space="preserve"> (</w:t>
      </w:r>
      <w:r w:rsidR="004C519E" w:rsidRPr="005675B5">
        <w:rPr>
          <w:lang w:val="en-GB"/>
        </w:rPr>
        <w:t xml:space="preserve">Čelan, 2020; </w:t>
      </w:r>
      <w:r w:rsidR="001A3886" w:rsidRPr="005675B5">
        <w:rPr>
          <w:lang w:val="en-GB"/>
        </w:rPr>
        <w:t>Healy, 2011)</w:t>
      </w:r>
      <w:r w:rsidRPr="005675B5">
        <w:rPr>
          <w:lang w:val="en-GB"/>
        </w:rPr>
        <w:t xml:space="preserve">. </w:t>
      </w:r>
      <w:r w:rsidR="009F6F61" w:rsidRPr="005675B5">
        <w:t>Besides theoretical ones, g</w:t>
      </w:r>
      <w:r w:rsidR="00E57720" w:rsidRPr="005675B5">
        <w:t>aining practical experiences in process control</w:t>
      </w:r>
      <w:r w:rsidR="009F6F61" w:rsidRPr="005675B5">
        <w:t xml:space="preserve"> is indispensable for a future process engineer</w:t>
      </w:r>
      <w:r w:rsidR="00A63140" w:rsidRPr="005675B5">
        <w:t xml:space="preserve"> (Miccio et. al</w:t>
      </w:r>
      <w:r w:rsidR="009F6F61" w:rsidRPr="005675B5">
        <w:t>.</w:t>
      </w:r>
      <w:r w:rsidR="00A63140" w:rsidRPr="005675B5">
        <w:t>, 2019).</w:t>
      </w:r>
      <w:r w:rsidR="009F6F61" w:rsidRPr="005675B5">
        <w:t xml:space="preserve"> Practical skills are gained in the control room </w:t>
      </w:r>
      <w:r w:rsidR="00F8106B" w:rsidRPr="005675B5">
        <w:t xml:space="preserve">and young process engineers, naturally, lack experience. This is why it is essential to incorporate tuning simulators into courses at the university level. The software used here was purchased for education purposes in Process Control at the Faculty of </w:t>
      </w:r>
      <w:r w:rsidR="00F8106B">
        <w:t xml:space="preserve">Chemistry and Technology, University of Split. Simcet is a real-time, online PID tuning simulator for practice and testing of tuning skills that mimics the control room environment. Its major advantage is that it </w:t>
      </w:r>
      <w:r w:rsidR="00F51F5F">
        <w:t>operates in the time-domain. It is u</w:t>
      </w:r>
      <w:r w:rsidR="00F51F5F" w:rsidRPr="00F51F5F">
        <w:t>ser friendly, easy to understand and very helpful in visualizing processes and control methods which are sometimes rather abstract to students.</w:t>
      </w:r>
      <w:r w:rsidR="00F51F5F">
        <w:t xml:space="preserve"> It offers a range of processes for students to analyse. The </w:t>
      </w:r>
      <w:r w:rsidR="00F51F5F">
        <w:lastRenderedPageBreak/>
        <w:t xml:space="preserve">second one, Pitops, is a </w:t>
      </w:r>
      <w:r w:rsidR="00F51F5F" w:rsidRPr="00F51F5F">
        <w:t>multivariable closed-loop process transfer function dynamics system identification</w:t>
      </w:r>
      <w:r w:rsidR="00F51F5F">
        <w:t xml:space="preserve"> tool. Both were used in this work to </w:t>
      </w:r>
      <w:r w:rsidR="00C14094">
        <w:t>test the</w:t>
      </w:r>
      <w:r w:rsidR="00F51F5F">
        <w:t xml:space="preserve"> </w:t>
      </w:r>
      <w:r w:rsidR="00B977D4" w:rsidRPr="00B977D4">
        <w:t>benefits</w:t>
      </w:r>
      <w:r w:rsidR="00F51F5F" w:rsidRPr="00B977D4">
        <w:t xml:space="preserve"> </w:t>
      </w:r>
      <w:r w:rsidR="00F51F5F">
        <w:t xml:space="preserve">for exercises in Process Control course. </w:t>
      </w:r>
      <w:r w:rsidR="00C14094">
        <w:t xml:space="preserve">During the semester, </w:t>
      </w:r>
      <w:r w:rsidRPr="009B7903">
        <w:t>students put their hands in a PC-equipped lab class on the case study presented here and the software</w:t>
      </w:r>
      <w:r>
        <w:t xml:space="preserve"> </w:t>
      </w:r>
      <w:r w:rsidR="00C14094">
        <w:t>proved to be a great addition to the theoretical lectures. T</w:t>
      </w:r>
      <w:r w:rsidR="00F51F5F">
        <w:t>he ease of-use</w:t>
      </w:r>
      <w:r w:rsidR="00C14094">
        <w:t xml:space="preserve"> and the fact that the programs operate entirely in the time domain helped students grasp the complexities of process control. The fact that they could simulate processes, safely change PID parameters and observe the effects, made them more involved in the course. </w:t>
      </w:r>
    </w:p>
    <w:p w14:paraId="410B9281" w14:textId="77777777" w:rsidR="002E18CC" w:rsidRPr="002D2219" w:rsidRDefault="002E18CC" w:rsidP="002E18CC">
      <w:pPr>
        <w:pStyle w:val="CETHeading1"/>
        <w:tabs>
          <w:tab w:val="right" w:pos="7100"/>
        </w:tabs>
        <w:jc w:val="both"/>
        <w:rPr>
          <w:lang w:val="en-GB"/>
        </w:rPr>
      </w:pPr>
      <w:r w:rsidRPr="002D2219">
        <w:rPr>
          <w:lang w:val="en-GB"/>
        </w:rPr>
        <w:t>Materials and methods</w:t>
      </w:r>
    </w:p>
    <w:p w14:paraId="407A64D8" w14:textId="1F9211AC" w:rsidR="00515DD8" w:rsidRPr="002D2219" w:rsidRDefault="002E18CC" w:rsidP="00E055BE">
      <w:pPr>
        <w:tabs>
          <w:tab w:val="clear" w:pos="7100"/>
        </w:tabs>
        <w:spacing w:after="200" w:line="276" w:lineRule="auto"/>
      </w:pPr>
      <w:r w:rsidRPr="002D2219">
        <w:t xml:space="preserve">Simulations were conducted in real-time </w:t>
      </w:r>
      <w:r w:rsidR="009B7903">
        <w:t xml:space="preserve">by means of the </w:t>
      </w:r>
      <w:r w:rsidRPr="002D2219">
        <w:t xml:space="preserve">software </w:t>
      </w:r>
      <w:r w:rsidR="009B0FCF" w:rsidRPr="002D2219">
        <w:t xml:space="preserve">Simcet </w:t>
      </w:r>
      <w:r w:rsidRPr="002D2219">
        <w:t xml:space="preserve">by PiControl Solutions. </w:t>
      </w:r>
      <w:r w:rsidR="001B7C8D" w:rsidRPr="002D2219">
        <w:t xml:space="preserve">It this case, temperature control on batch reactor was analysed. </w:t>
      </w:r>
      <w:r w:rsidR="0091453E" w:rsidRPr="002D2219">
        <w:t xml:space="preserve">The simulator allows to test both closed and open loop dynamics by changing the controller mode from auto to manual. Changes in </w:t>
      </w:r>
      <w:r w:rsidR="006D6B19" w:rsidRPr="002D2219">
        <w:t xml:space="preserve">PV, SP and </w:t>
      </w:r>
      <w:r w:rsidR="0091453E" w:rsidRPr="002D2219">
        <w:t xml:space="preserve">OP can be observed in diagrams shown below the PFD in the simulator. </w:t>
      </w:r>
      <w:r w:rsidR="00515DD8" w:rsidRPr="002D2219">
        <w:t>The second software used here was Pitops</w:t>
      </w:r>
      <w:r w:rsidR="009B7903">
        <w:t xml:space="preserve">, which </w:t>
      </w:r>
      <w:r w:rsidR="00515DD8" w:rsidRPr="002D2219">
        <w:t>is a process identification &amp; controller tuning optimizer simulator. It consists of System Identification module and PID/APC Optimization module. The first one is used for identifying process dynamics (transfer function parameters) while the second one</w:t>
      </w:r>
      <w:r w:rsidR="00E055BE" w:rsidRPr="002D2219">
        <w:t xml:space="preserve"> is used </w:t>
      </w:r>
      <w:r w:rsidR="00515DD8" w:rsidRPr="002D2219">
        <w:t xml:space="preserve">for controller tuning. </w:t>
      </w:r>
      <w:r w:rsidR="00515DD8" w:rsidRPr="002D2219">
        <w:rPr>
          <w:rFonts w:eastAsiaTheme="minorHAnsi" w:cs="Arial"/>
          <w:szCs w:val="18"/>
        </w:rPr>
        <w:t xml:space="preserve">The adopted methodology consisted in a detailed description of the process being analysed in Simcet, upon which it was necessary to conduct a step test in an open-loop configuration. Obtained dynamic response was then inspected and transfer function parameters were visually estimated. Additionally, </w:t>
      </w:r>
      <w:r w:rsidR="00515DD8" w:rsidRPr="002D2219">
        <w:t xml:space="preserve">Pitops System Identification module was used to analyse the dynamic response which was fitted by a First Order Plus Dead Time model in Pitops. Transfer function </w:t>
      </w:r>
      <w:r w:rsidR="00442C74">
        <w:t xml:space="preserve">(TF) </w:t>
      </w:r>
      <w:r w:rsidR="00515DD8" w:rsidRPr="002D2219">
        <w:t xml:space="preserve">parameters were optimized. In the Pitops PID/APC Optimization module, different tuning criteria </w:t>
      </w:r>
      <w:r w:rsidR="00515DD8" w:rsidRPr="00A66D6F">
        <w:t>were applied for determination of PID tuning parameters. While there are several different tuning criteria available in Pitops, including common ones like Ziegler-Nichols and Cohen Coon, only the criteria which were developed by PiControl Solutions specifically for Pitops were use</w:t>
      </w:r>
      <w:r w:rsidR="00E055BE" w:rsidRPr="00A66D6F">
        <w:t>d here</w:t>
      </w:r>
      <w:r w:rsidR="00515DD8" w:rsidRPr="00A66D6F">
        <w:t>. The tuning criteria applied were Pitops-IAE that minimizes</w:t>
      </w:r>
      <w:r w:rsidR="00A65C59" w:rsidRPr="00A66D6F">
        <w:t xml:space="preserve"> the integrated absolute error </w:t>
      </w:r>
      <w:r w:rsidR="00515DD8" w:rsidRPr="00A66D6F">
        <w:t>and Pitops-RO that produces stable and crisp control but with reduced proportional</w:t>
      </w:r>
      <w:r w:rsidR="00515DD8" w:rsidRPr="002D2219">
        <w:t xml:space="preserve"> kick </w:t>
      </w:r>
      <w:r w:rsidR="00A65C59">
        <w:t xml:space="preserve">in order to </w:t>
      </w:r>
      <w:r w:rsidR="003E2D69">
        <w:t>minimize</w:t>
      </w:r>
      <w:r w:rsidR="00A65C59">
        <w:t xml:space="preserve"> an</w:t>
      </w:r>
      <w:r w:rsidR="00515DD8" w:rsidRPr="002D2219">
        <w:t xml:space="preserve"> overshoot upon a </w:t>
      </w:r>
      <w:r w:rsidR="00227A65">
        <w:t>set-point</w:t>
      </w:r>
      <w:r w:rsidR="00515DD8" w:rsidRPr="002D2219">
        <w:t xml:space="preserve"> change.</w:t>
      </w:r>
      <w:r w:rsidR="00E055BE" w:rsidRPr="002D2219">
        <w:t xml:space="preserve"> Obtained responses to </w:t>
      </w:r>
      <w:r w:rsidR="00A65C59">
        <w:t xml:space="preserve">a </w:t>
      </w:r>
      <w:r w:rsidR="00227A65">
        <w:t>set-point</w:t>
      </w:r>
      <w:r w:rsidR="00E055BE" w:rsidRPr="002D2219">
        <w:t xml:space="preserve"> change were </w:t>
      </w:r>
      <w:r w:rsidR="00A65C59" w:rsidRPr="002D2219">
        <w:t>analysed</w:t>
      </w:r>
      <w:r w:rsidR="00E055BE" w:rsidRPr="002D2219">
        <w:t xml:space="preserve"> and discussed. </w:t>
      </w:r>
    </w:p>
    <w:p w14:paraId="5483720B" w14:textId="40468088" w:rsidR="00E055BE" w:rsidRPr="002D2219" w:rsidRDefault="00E055BE" w:rsidP="00E055BE">
      <w:pPr>
        <w:pStyle w:val="CETHeading1"/>
        <w:rPr>
          <w:lang w:val="en-GB"/>
        </w:rPr>
      </w:pPr>
      <w:r w:rsidRPr="002D2219">
        <w:rPr>
          <w:lang w:val="en-GB"/>
        </w:rPr>
        <w:t>Results and discussion</w:t>
      </w:r>
    </w:p>
    <w:p w14:paraId="5F609A78" w14:textId="5006B19C" w:rsidR="00E055BE" w:rsidRPr="002D2219" w:rsidRDefault="00E055BE" w:rsidP="00E055BE">
      <w:pPr>
        <w:pStyle w:val="ListParagraph"/>
        <w:tabs>
          <w:tab w:val="clear" w:pos="7100"/>
        </w:tabs>
        <w:spacing w:after="200" w:line="276" w:lineRule="auto"/>
        <w:ind w:left="0"/>
        <w:jc w:val="left"/>
      </w:pPr>
      <w:r w:rsidRPr="002D2219">
        <w:t xml:space="preserve">Simplified </w:t>
      </w:r>
      <w:r w:rsidR="00052724" w:rsidRPr="002D2219">
        <w:t>piping &amp; instrumentation diagram (P&amp;I</w:t>
      </w:r>
      <w:r w:rsidRPr="002D2219">
        <w:t xml:space="preserve">D) is shown in Figure 1. </w:t>
      </w:r>
    </w:p>
    <w:p w14:paraId="16C0B054" w14:textId="77777777" w:rsidR="00B977D4" w:rsidRDefault="00E055BE" w:rsidP="00B977D4">
      <w:pPr>
        <w:tabs>
          <w:tab w:val="clear" w:pos="7100"/>
        </w:tabs>
        <w:spacing w:after="200" w:line="276" w:lineRule="auto"/>
        <w:jc w:val="center"/>
      </w:pPr>
      <w:bookmarkStart w:id="0" w:name="sl1"/>
      <w:r w:rsidRPr="002D2219">
        <w:rPr>
          <w:noProof/>
          <w:lang w:val="hr-HR" w:eastAsia="hr-HR"/>
        </w:rPr>
        <w:drawing>
          <wp:inline distT="0" distB="0" distL="0" distR="0" wp14:anchorId="5559D02D" wp14:editId="1D556638">
            <wp:extent cx="2902841" cy="2214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444" t="24632"/>
                    <a:stretch/>
                  </pic:blipFill>
                  <pic:spPr bwMode="auto">
                    <a:xfrm>
                      <a:off x="0" y="0"/>
                      <a:ext cx="2916264" cy="222476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7356DB4" w14:textId="44BCB6E1" w:rsidR="00E055BE" w:rsidRPr="002D2219" w:rsidRDefault="00E055BE" w:rsidP="00B977D4">
      <w:pPr>
        <w:tabs>
          <w:tab w:val="clear" w:pos="7100"/>
        </w:tabs>
        <w:spacing w:after="200" w:line="276" w:lineRule="auto"/>
        <w:jc w:val="center"/>
      </w:pPr>
      <w:r w:rsidRPr="002D2219">
        <w:t>Figure 1:</w:t>
      </w:r>
      <w:r w:rsidR="00052724" w:rsidRPr="002D2219">
        <w:t xml:space="preserve"> Simplified piping &amp; instrumentation diagram </w:t>
      </w:r>
      <w:r w:rsidRPr="002D2219">
        <w:t>of temperature control on batch reactor.</w:t>
      </w:r>
    </w:p>
    <w:p w14:paraId="57BE7B70" w14:textId="01CF7EAE" w:rsidR="00E055BE" w:rsidRPr="002D2219" w:rsidRDefault="00E055BE" w:rsidP="00E055BE">
      <w:pPr>
        <w:pStyle w:val="CETBodytext"/>
        <w:rPr>
          <w:lang w:val="en-GB"/>
        </w:rPr>
      </w:pPr>
      <w:r w:rsidRPr="002D2219">
        <w:rPr>
          <w:lang w:val="en-GB"/>
        </w:rPr>
        <w:t xml:space="preserve">As can be seen in the </w:t>
      </w:r>
      <w:r w:rsidR="00052724" w:rsidRPr="002D2219">
        <w:rPr>
          <w:lang w:val="en-GB"/>
        </w:rPr>
        <w:t>P&amp;ID</w:t>
      </w:r>
      <w:r w:rsidRPr="002D2219">
        <w:rPr>
          <w:lang w:val="en-GB"/>
        </w:rPr>
        <w:t xml:space="preserve">, the temperature controller </w:t>
      </w:r>
      <w:r w:rsidR="00052724" w:rsidRPr="002D2219">
        <w:rPr>
          <w:lang w:val="en-GB"/>
        </w:rPr>
        <w:t xml:space="preserve">(TC) </w:t>
      </w:r>
      <w:r w:rsidRPr="002D2219">
        <w:rPr>
          <w:lang w:val="en-GB"/>
        </w:rPr>
        <w:t>receives info on the process variable (PV) being measured</w:t>
      </w:r>
      <w:r w:rsidR="00052724" w:rsidRPr="002D2219">
        <w:rPr>
          <w:lang w:val="en-GB"/>
        </w:rPr>
        <w:t xml:space="preserve"> by a sensor</w:t>
      </w:r>
      <w:r w:rsidRPr="002D2219">
        <w:rPr>
          <w:lang w:val="en-GB"/>
        </w:rPr>
        <w:t xml:space="preserve">, which in this case is the temperature in the </w:t>
      </w:r>
      <w:r w:rsidR="00CB1EE5" w:rsidRPr="002D2219">
        <w:rPr>
          <w:bCs/>
          <w:lang w:val="en-GB"/>
        </w:rPr>
        <w:t>semi</w:t>
      </w:r>
      <w:r w:rsidRPr="002D2219">
        <w:rPr>
          <w:lang w:val="en-GB"/>
        </w:rPr>
        <w:t xml:space="preserve">batch reactor. </w:t>
      </w:r>
      <w:r w:rsidR="00052724" w:rsidRPr="002D2219">
        <w:rPr>
          <w:lang w:val="en-GB"/>
        </w:rPr>
        <w:t xml:space="preserve">The sensor has a range of 0 – 500 °C. </w:t>
      </w:r>
      <w:r w:rsidRPr="002D2219">
        <w:rPr>
          <w:lang w:val="en-GB"/>
        </w:rPr>
        <w:t>In automatic mode, the TC compares PV</w:t>
      </w:r>
      <w:r w:rsidR="009B7903">
        <w:rPr>
          <w:lang w:val="en-GB"/>
        </w:rPr>
        <w:t xml:space="preserve">, </w:t>
      </w:r>
      <w:r w:rsidR="009B7903" w:rsidRPr="009B7903">
        <w:rPr>
          <w:lang w:val="en-GB"/>
        </w:rPr>
        <w:t xml:space="preserve">i.e., the reactor temperature, </w:t>
      </w:r>
      <w:r w:rsidRPr="002D2219">
        <w:rPr>
          <w:lang w:val="en-GB"/>
        </w:rPr>
        <w:t xml:space="preserve">to the </w:t>
      </w:r>
      <w:r w:rsidR="00227A65">
        <w:rPr>
          <w:lang w:val="en-GB"/>
        </w:rPr>
        <w:t>set-point</w:t>
      </w:r>
      <w:r w:rsidRPr="002D2219">
        <w:rPr>
          <w:lang w:val="en-GB"/>
        </w:rPr>
        <w:t xml:space="preserve"> (SP) given by the operator</w:t>
      </w:r>
      <w:r w:rsidR="00CB1EE5" w:rsidRPr="002D2219">
        <w:rPr>
          <w:lang w:val="en-GB"/>
        </w:rPr>
        <w:t>. B</w:t>
      </w:r>
      <w:r w:rsidRPr="002D2219">
        <w:rPr>
          <w:lang w:val="en-GB"/>
        </w:rPr>
        <w:t>ased on the error and selected PID algorithm, it calculates the controller output (OP) that is being sent to the</w:t>
      </w:r>
      <w:r w:rsidR="009B7903">
        <w:rPr>
          <w:lang w:val="en-GB"/>
        </w:rPr>
        <w:t xml:space="preserve"> final control element in the loop, i.e. the</w:t>
      </w:r>
      <w:r w:rsidRPr="002D2219">
        <w:rPr>
          <w:lang w:val="en-GB"/>
        </w:rPr>
        <w:t xml:space="preserve"> valve</w:t>
      </w:r>
      <w:r w:rsidR="00D062BE" w:rsidRPr="002D2219">
        <w:rPr>
          <w:lang w:val="en-GB"/>
        </w:rPr>
        <w:t xml:space="preserve"> in order to reject the effect of disturbances</w:t>
      </w:r>
      <w:r w:rsidRPr="002D2219">
        <w:rPr>
          <w:lang w:val="en-GB"/>
        </w:rPr>
        <w:t xml:space="preserve">. The valve opens/closes based on the controller output and adjusts the </w:t>
      </w:r>
      <w:r w:rsidR="009B7903">
        <w:rPr>
          <w:lang w:val="en-GB"/>
        </w:rPr>
        <w:t xml:space="preserve">condensing </w:t>
      </w:r>
      <w:r w:rsidR="00D062BE" w:rsidRPr="002D2219">
        <w:rPr>
          <w:lang w:val="en-GB"/>
        </w:rPr>
        <w:t xml:space="preserve">steam </w:t>
      </w:r>
      <w:r w:rsidRPr="002D2219">
        <w:rPr>
          <w:lang w:val="en-GB"/>
        </w:rPr>
        <w:t>flow</w:t>
      </w:r>
      <w:r w:rsidR="00052724" w:rsidRPr="002D2219">
        <w:rPr>
          <w:lang w:val="en-GB"/>
        </w:rPr>
        <w:t xml:space="preserve"> </w:t>
      </w:r>
      <w:r w:rsidRPr="002D2219">
        <w:rPr>
          <w:lang w:val="en-GB"/>
        </w:rPr>
        <w:t xml:space="preserve">rate </w:t>
      </w:r>
      <w:r w:rsidR="009B7903">
        <w:rPr>
          <w:lang w:val="en-GB"/>
        </w:rPr>
        <w:t>in</w:t>
      </w:r>
      <w:r w:rsidRPr="002D2219">
        <w:rPr>
          <w:lang w:val="en-GB"/>
        </w:rPr>
        <w:t xml:space="preserve"> the reactor jacket</w:t>
      </w:r>
      <w:r w:rsidR="009B7903">
        <w:rPr>
          <w:lang w:val="en-GB"/>
        </w:rPr>
        <w:t xml:space="preserve">, which is the manipulated variable. </w:t>
      </w:r>
    </w:p>
    <w:p w14:paraId="41926B01" w14:textId="77777777" w:rsidR="00E055BE" w:rsidRPr="002D2219" w:rsidRDefault="00E055BE" w:rsidP="00E055BE">
      <w:pPr>
        <w:pStyle w:val="CETBodytext"/>
        <w:rPr>
          <w:lang w:val="en-GB"/>
        </w:rPr>
      </w:pPr>
    </w:p>
    <w:p w14:paraId="69F548F7" w14:textId="50C5A469" w:rsidR="00927648" w:rsidRPr="002D2219" w:rsidRDefault="00200E61" w:rsidP="00927648">
      <w:pPr>
        <w:pStyle w:val="CETheadingx"/>
        <w:rPr>
          <w:lang w:val="en-GB"/>
        </w:rPr>
      </w:pPr>
      <w:r>
        <w:rPr>
          <w:lang w:val="en-GB"/>
        </w:rPr>
        <w:lastRenderedPageBreak/>
        <w:t>Simulation of a step test in the o</w:t>
      </w:r>
      <w:r w:rsidR="00927648" w:rsidRPr="002D2219">
        <w:rPr>
          <w:lang w:val="en-GB"/>
        </w:rPr>
        <w:t xml:space="preserve">pen-loop </w:t>
      </w:r>
      <w:r>
        <w:rPr>
          <w:lang w:val="en-GB"/>
        </w:rPr>
        <w:t>configuration</w:t>
      </w:r>
    </w:p>
    <w:p w14:paraId="1A2A1BAC" w14:textId="4214940F" w:rsidR="00927648" w:rsidRPr="002D2219" w:rsidRDefault="00927648" w:rsidP="00927648">
      <w:pPr>
        <w:pStyle w:val="CETBodytext"/>
        <w:rPr>
          <w:lang w:val="en-GB"/>
        </w:rPr>
      </w:pPr>
    </w:p>
    <w:p w14:paraId="66E5FFAB" w14:textId="2AA24EEB" w:rsidR="00E0531D" w:rsidRPr="002D2219" w:rsidRDefault="005F21C1" w:rsidP="00691114">
      <w:pPr>
        <w:pStyle w:val="CETBodytext"/>
        <w:rPr>
          <w:lang w:val="en-GB"/>
        </w:rPr>
      </w:pPr>
      <w:r w:rsidRPr="002D2219">
        <w:rPr>
          <w:lang w:val="en-GB"/>
        </w:rPr>
        <w:t xml:space="preserve">In order to </w:t>
      </w:r>
      <w:r w:rsidR="00200E61" w:rsidRPr="002D2219">
        <w:rPr>
          <w:lang w:val="en-GB"/>
        </w:rPr>
        <w:t>analyse</w:t>
      </w:r>
      <w:r w:rsidRPr="002D2219">
        <w:rPr>
          <w:lang w:val="en-GB"/>
        </w:rPr>
        <w:t xml:space="preserve"> the open-loop response, the controller mode was set to manual. </w:t>
      </w:r>
      <w:r w:rsidR="00691114" w:rsidRPr="002D2219">
        <w:rPr>
          <w:lang w:val="en-GB"/>
        </w:rPr>
        <w:t>Two graphs are visible below the P&amp;ID. The upper one showing the PV (red line) vs. time</w:t>
      </w:r>
      <w:r w:rsidR="00A3141D" w:rsidRPr="002D2219">
        <w:rPr>
          <w:lang w:val="en-GB"/>
        </w:rPr>
        <w:t xml:space="preserve"> (in minutes)</w:t>
      </w:r>
      <w:r w:rsidR="00691114" w:rsidRPr="002D2219">
        <w:rPr>
          <w:lang w:val="en-GB"/>
        </w:rPr>
        <w:t xml:space="preserve">. </w:t>
      </w:r>
    </w:p>
    <w:p w14:paraId="082A8D56" w14:textId="77777777" w:rsidR="00E0531D" w:rsidRPr="002D2219" w:rsidRDefault="00E0531D" w:rsidP="00691114">
      <w:pPr>
        <w:pStyle w:val="CETBodytext"/>
        <w:rPr>
          <w:lang w:val="en-GB"/>
        </w:rPr>
      </w:pPr>
    </w:p>
    <w:p w14:paraId="43EF31E6" w14:textId="7EB9BEA9" w:rsidR="00E0531D" w:rsidRPr="002D2219" w:rsidRDefault="00E0531D" w:rsidP="00E0531D">
      <w:pPr>
        <w:pStyle w:val="CETBodytext"/>
        <w:jc w:val="center"/>
        <w:rPr>
          <w:lang w:val="en-GB"/>
        </w:rPr>
      </w:pPr>
      <w:r w:rsidRPr="002D2219">
        <w:rPr>
          <w:noProof/>
          <w:lang w:val="hr-HR" w:eastAsia="hr-HR"/>
        </w:rPr>
        <w:drawing>
          <wp:inline distT="0" distB="0" distL="0" distR="0" wp14:anchorId="790F9D13" wp14:editId="46E12479">
            <wp:extent cx="2231409" cy="317330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34407" cy="3177567"/>
                    </a:xfrm>
                    <a:prstGeom prst="rect">
                      <a:avLst/>
                    </a:prstGeom>
                  </pic:spPr>
                </pic:pic>
              </a:graphicData>
            </a:graphic>
          </wp:inline>
        </w:drawing>
      </w:r>
    </w:p>
    <w:p w14:paraId="36D459AC" w14:textId="2F1A4B40" w:rsidR="00E0531D" w:rsidRPr="002D2219" w:rsidRDefault="00E0531D" w:rsidP="00950DC6">
      <w:pPr>
        <w:pStyle w:val="CETCaption"/>
        <w:jc w:val="center"/>
      </w:pPr>
      <w:r w:rsidRPr="002D2219">
        <w:t xml:space="preserve">Figure </w:t>
      </w:r>
      <w:r w:rsidR="0015191F">
        <w:t>2</w:t>
      </w:r>
      <w:r w:rsidRPr="002D2219">
        <w:t xml:space="preserve">: Dynamic response to a step change in </w:t>
      </w:r>
      <w:r w:rsidR="00950DC6" w:rsidRPr="002D2219">
        <w:t>controller output from 35 % to 50 % (</w:t>
      </w:r>
      <w:r w:rsidR="00F82E62" w:rsidRPr="002D2219">
        <w:t xml:space="preserve">a </w:t>
      </w:r>
      <w:r w:rsidR="00950DC6" w:rsidRPr="002D2219">
        <w:t>screenshot from Simcet).</w:t>
      </w:r>
    </w:p>
    <w:p w14:paraId="078E7056" w14:textId="041693FC" w:rsidR="00AD3DBB" w:rsidRDefault="00691114" w:rsidP="00691114">
      <w:pPr>
        <w:pStyle w:val="CETBodytext"/>
        <w:rPr>
          <w:lang w:val="en-GB"/>
        </w:rPr>
      </w:pPr>
      <w:r w:rsidRPr="002D2219">
        <w:rPr>
          <w:lang w:val="en-GB"/>
        </w:rPr>
        <w:t>The lower graph shows the controller output OP</w:t>
      </w:r>
      <w:r w:rsidR="009B7903">
        <w:rPr>
          <w:lang w:val="en-GB"/>
        </w:rPr>
        <w:t xml:space="preserve"> in %</w:t>
      </w:r>
      <w:r w:rsidRPr="002D2219">
        <w:rPr>
          <w:lang w:val="en-GB"/>
        </w:rPr>
        <w:t xml:space="preserve"> (green line)</w:t>
      </w:r>
      <w:r w:rsidR="00D062BE" w:rsidRPr="002D2219">
        <w:rPr>
          <w:lang w:val="en-GB"/>
        </w:rPr>
        <w:t xml:space="preserve"> which is</w:t>
      </w:r>
      <w:r w:rsidR="009B7903">
        <w:rPr>
          <w:lang w:val="en-GB"/>
        </w:rPr>
        <w:t xml:space="preserve"> mastering</w:t>
      </w:r>
      <w:r w:rsidR="00D062BE" w:rsidRPr="002D2219">
        <w:rPr>
          <w:lang w:val="en-GB"/>
        </w:rPr>
        <w:t xml:space="preserve"> the steam flow</w:t>
      </w:r>
      <w:r w:rsidR="00A3141D" w:rsidRPr="002D2219">
        <w:rPr>
          <w:lang w:val="en-GB"/>
        </w:rPr>
        <w:t xml:space="preserve"> rate vs time (in minutes)</w:t>
      </w:r>
      <w:r w:rsidRPr="002D2219">
        <w:rPr>
          <w:lang w:val="en-GB"/>
        </w:rPr>
        <w:t xml:space="preserve">. </w:t>
      </w:r>
      <w:r w:rsidR="00AD3DBB" w:rsidRPr="002D2219">
        <w:rPr>
          <w:lang w:val="en-GB"/>
        </w:rPr>
        <w:t xml:space="preserve">In order to </w:t>
      </w:r>
      <w:r w:rsidR="00A53CB6" w:rsidRPr="002D2219">
        <w:rPr>
          <w:lang w:val="en-GB"/>
        </w:rPr>
        <w:t>analyse</w:t>
      </w:r>
      <w:r w:rsidR="00AD3DBB" w:rsidRPr="002D2219">
        <w:rPr>
          <w:lang w:val="en-GB"/>
        </w:rPr>
        <w:t xml:space="preserve"> the</w:t>
      </w:r>
      <w:r w:rsidRPr="002D2219">
        <w:rPr>
          <w:lang w:val="en-GB"/>
        </w:rPr>
        <w:t xml:space="preserve"> dynamic response of the process in the open-loop, a step test was conducted by changing the OP from 35 % to 50 %. </w:t>
      </w:r>
      <w:r w:rsidR="0015191F">
        <w:rPr>
          <w:lang w:val="en-GB"/>
        </w:rPr>
        <w:t>As can be seen from Figure 2</w:t>
      </w:r>
      <w:r w:rsidR="00AD3DBB" w:rsidRPr="002D2219">
        <w:rPr>
          <w:lang w:val="en-GB"/>
        </w:rPr>
        <w:t>. for the first couple of minutes after the step change</w:t>
      </w:r>
      <w:r w:rsidR="009B7903">
        <w:rPr>
          <w:lang w:val="en-GB"/>
        </w:rPr>
        <w:t xml:space="preserve"> in OP</w:t>
      </w:r>
      <w:r w:rsidR="00AD3DBB" w:rsidRPr="002D2219">
        <w:rPr>
          <w:lang w:val="en-GB"/>
        </w:rPr>
        <w:t xml:space="preserve"> there is no change in PV. If ideal mixing is assumed in the reactor, the dead time </w:t>
      </w:r>
      <w:r w:rsidR="00D86359" w:rsidRPr="002D2219">
        <w:rPr>
          <w:lang w:val="en-GB"/>
        </w:rPr>
        <w:t>can be considered</w:t>
      </w:r>
      <w:r w:rsidR="00AD3DBB" w:rsidRPr="002D2219">
        <w:rPr>
          <w:lang w:val="en-GB"/>
        </w:rPr>
        <w:t xml:space="preserve"> a consequence of the resistances to heat transfer in the system. </w:t>
      </w:r>
      <w:r w:rsidR="00BA0478" w:rsidRPr="002D2219">
        <w:rPr>
          <w:lang w:val="en-GB"/>
        </w:rPr>
        <w:t xml:space="preserve">After the elapse of the dead time, reactor temperature rises from 400 °C to approximately 440 °C where it settles, </w:t>
      </w:r>
      <w:r w:rsidR="002D2219" w:rsidRPr="002D2219">
        <w:rPr>
          <w:lang w:val="en-GB"/>
        </w:rPr>
        <w:t>signalling</w:t>
      </w:r>
      <w:r w:rsidR="00BA0478" w:rsidRPr="002D2219">
        <w:rPr>
          <w:lang w:val="en-GB"/>
        </w:rPr>
        <w:t xml:space="preserve"> that the dynamic system </w:t>
      </w:r>
      <w:r w:rsidR="00F82E62" w:rsidRPr="002D2219">
        <w:rPr>
          <w:lang w:val="en-GB"/>
        </w:rPr>
        <w:t xml:space="preserve">investigated here </w:t>
      </w:r>
      <w:r w:rsidR="00BA0478" w:rsidRPr="002D2219">
        <w:rPr>
          <w:lang w:val="en-GB"/>
        </w:rPr>
        <w:t xml:space="preserve">is self-regulating. </w:t>
      </w:r>
      <w:r w:rsidR="00A3141D" w:rsidRPr="002D2219">
        <w:rPr>
          <w:lang w:val="en-GB"/>
        </w:rPr>
        <w:t xml:space="preserve">By visually inspecting the response, besides estimating the dead time to approximately 3 minutes, </w:t>
      </w:r>
      <w:r w:rsidR="00E0531D" w:rsidRPr="002D2219">
        <w:rPr>
          <w:lang w:val="en-GB"/>
        </w:rPr>
        <w:t xml:space="preserve">it can be seen that the system reaches the new steady state </w:t>
      </w:r>
      <w:r w:rsidR="00E33463" w:rsidRPr="002D2219">
        <w:rPr>
          <w:lang w:val="en-GB"/>
        </w:rPr>
        <w:t xml:space="preserve">(time to steady state, TTSS) </w:t>
      </w:r>
      <w:r w:rsidR="00E0531D" w:rsidRPr="002D2219">
        <w:rPr>
          <w:lang w:val="en-GB"/>
        </w:rPr>
        <w:t xml:space="preserve">within approximately 55 minutes. </w:t>
      </w:r>
    </w:p>
    <w:p w14:paraId="3DEAD49E" w14:textId="74EB9294" w:rsidR="00200E61" w:rsidRDefault="00200E61" w:rsidP="00691114">
      <w:pPr>
        <w:pStyle w:val="CETBodytext"/>
        <w:rPr>
          <w:lang w:val="en-GB"/>
        </w:rPr>
      </w:pPr>
    </w:p>
    <w:p w14:paraId="5A0422A1" w14:textId="3B587EC5" w:rsidR="00200E61" w:rsidRPr="00200E61" w:rsidRDefault="00200E61" w:rsidP="00200E61">
      <w:pPr>
        <w:pStyle w:val="CETheadingx"/>
        <w:rPr>
          <w:lang w:val="en-GB"/>
        </w:rPr>
      </w:pPr>
      <w:r>
        <w:t xml:space="preserve">Software assisted determination of </w:t>
      </w:r>
      <w:r w:rsidRPr="00200E61">
        <w:rPr>
          <w:lang w:val="en-GB"/>
        </w:rPr>
        <w:t>process dynamic model</w:t>
      </w:r>
    </w:p>
    <w:p w14:paraId="33ECBC41" w14:textId="68530035" w:rsidR="00200E61" w:rsidRDefault="00200E61" w:rsidP="00200E61">
      <w:pPr>
        <w:pStyle w:val="CETBodytext"/>
        <w:rPr>
          <w:lang w:val="en-GB"/>
        </w:rPr>
      </w:pPr>
      <w:r w:rsidRPr="002D2219">
        <w:rPr>
          <w:lang w:val="en-GB"/>
        </w:rPr>
        <w:t xml:space="preserve">In order to determine the transfer function parameters, collected process output data was imported to Pitops and analysed in System Identification module. </w:t>
      </w:r>
    </w:p>
    <w:p w14:paraId="19B380B3" w14:textId="455C7E77" w:rsidR="00985FDD" w:rsidRPr="002D2219" w:rsidRDefault="00985FDD" w:rsidP="00985FDD">
      <w:pPr>
        <w:pStyle w:val="CETBodytext"/>
        <w:rPr>
          <w:lang w:val="en-GB"/>
        </w:rPr>
      </w:pPr>
      <w:r w:rsidRPr="002D2219">
        <w:rPr>
          <w:lang w:val="en-GB"/>
        </w:rPr>
        <w:t>Based on the fact that the system is self-regulating and that the rate of change of PV is maximum after the elapse of the dead time, the process was fitted with a first order plus dead time (FOPDT) model</w:t>
      </w:r>
      <w:r>
        <w:rPr>
          <w:lang w:val="en-GB"/>
        </w:rPr>
        <w:t xml:space="preserve">. </w:t>
      </w:r>
      <w:r w:rsidRPr="002D2219">
        <w:rPr>
          <w:lang w:val="en-GB"/>
        </w:rPr>
        <w:t xml:space="preserve"> In Figure </w:t>
      </w:r>
      <w:r w:rsidR="0015191F">
        <w:rPr>
          <w:lang w:val="en-GB"/>
        </w:rPr>
        <w:t>3</w:t>
      </w:r>
      <w:r w:rsidRPr="002D2219">
        <w:rPr>
          <w:lang w:val="en-GB"/>
        </w:rPr>
        <w:t xml:space="preserve">.a., raw data collected from Simcet is represented by red line while the blue line represents the fitted FOPDT model: </w:t>
      </w:r>
    </w:p>
    <w:tbl>
      <w:tblPr>
        <w:tblW w:w="5000" w:type="pct"/>
        <w:tblLook w:val="04A0" w:firstRow="1" w:lastRow="0" w:firstColumn="1" w:lastColumn="0" w:noHBand="0" w:noVBand="1"/>
      </w:tblPr>
      <w:tblGrid>
        <w:gridCol w:w="7982"/>
        <w:gridCol w:w="805"/>
      </w:tblGrid>
      <w:tr w:rsidR="00985FDD" w:rsidRPr="002D2219" w14:paraId="2495407E" w14:textId="77777777" w:rsidTr="008A20CB">
        <w:tc>
          <w:tcPr>
            <w:tcW w:w="7982" w:type="dxa"/>
            <w:shd w:val="clear" w:color="auto" w:fill="auto"/>
            <w:vAlign w:val="center"/>
          </w:tcPr>
          <w:p w14:paraId="0A7EACA6" w14:textId="77777777" w:rsidR="00985FDD" w:rsidRPr="002D2219" w:rsidRDefault="00985FDD" w:rsidP="008A20CB">
            <w:pPr>
              <w:pStyle w:val="CETEquation"/>
            </w:pPr>
            <m:oMathPara>
              <m:oMathParaPr>
                <m:jc m:val="left"/>
              </m:oMathParaPr>
              <m:oMath>
                <m:r>
                  <w:rPr>
                    <w:rFonts w:ascii="Cambria Math" w:hAnsi="Cambria Math"/>
                  </w:rPr>
                  <m:t>τ</m:t>
                </m:r>
                <m:f>
                  <m:fPr>
                    <m:ctrlPr>
                      <w:rPr>
                        <w:rFonts w:ascii="Cambria Math" w:hAnsi="Cambria Math"/>
                      </w:rPr>
                    </m:ctrlPr>
                  </m:fPr>
                  <m:num>
                    <m:r>
                      <w:rPr>
                        <w:rFonts w:ascii="Cambria Math" w:hAnsi="Cambria Math"/>
                      </w:rPr>
                      <m:t>dT</m:t>
                    </m:r>
                  </m:num>
                  <m:den>
                    <m:r>
                      <w:rPr>
                        <w:rFonts w:ascii="Cambria Math" w:hAnsi="Cambria Math"/>
                      </w:rPr>
                      <m:t>dt</m:t>
                    </m:r>
                  </m:den>
                </m:f>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p</m:t>
                    </m:r>
                  </m:sub>
                </m:sSub>
                <m:r>
                  <m:rPr>
                    <m:sty m:val="p"/>
                  </m:rPr>
                  <w:rPr>
                    <w:rFonts w:ascii="Cambria Math" w:hAnsi="Cambria Math"/>
                  </w:rPr>
                  <m:t>∙OP∙</m:t>
                </m:r>
                <m:d>
                  <m:dPr>
                    <m:ctrlPr>
                      <w:rPr>
                        <w:rFonts w:ascii="Cambria Math" w:hAnsi="Cambria Math"/>
                      </w:rPr>
                    </m:ctrlPr>
                  </m:dPr>
                  <m:e>
                    <m:r>
                      <w:rPr>
                        <w:rFonts w:ascii="Cambria Math" w:hAnsi="Cambria Math"/>
                      </w:rPr>
                      <m:t>t-θ</m:t>
                    </m:r>
                  </m:e>
                </m:d>
              </m:oMath>
            </m:oMathPara>
          </w:p>
        </w:tc>
        <w:tc>
          <w:tcPr>
            <w:tcW w:w="805" w:type="dxa"/>
            <w:shd w:val="clear" w:color="auto" w:fill="auto"/>
            <w:vAlign w:val="center"/>
          </w:tcPr>
          <w:p w14:paraId="38B2207D" w14:textId="77777777" w:rsidR="00985FDD" w:rsidRPr="002D2219" w:rsidRDefault="00985FDD" w:rsidP="008A20CB">
            <w:pPr>
              <w:pStyle w:val="CETEquation"/>
            </w:pPr>
            <w:r w:rsidRPr="002D2219">
              <w:t>(1)</w:t>
            </w:r>
          </w:p>
        </w:tc>
      </w:tr>
    </w:tbl>
    <w:p w14:paraId="5B216112" w14:textId="2A95D093" w:rsidR="00985FDD" w:rsidRPr="002D2219" w:rsidRDefault="00985FDD" w:rsidP="00985FDD">
      <w:pPr>
        <w:pStyle w:val="CETBodytext"/>
        <w:rPr>
          <w:lang w:val="en-GB"/>
        </w:rPr>
      </w:pPr>
      <w:r w:rsidRPr="002D2219">
        <w:rPr>
          <w:lang w:val="en-GB"/>
        </w:rPr>
        <w:t xml:space="preserve">Process time constant, </w:t>
      </w:r>
      <w:r w:rsidRPr="002D2219">
        <w:rPr>
          <w:rFonts w:ascii="Symbol" w:hAnsi="Symbol"/>
          <w:lang w:val="en-GB"/>
        </w:rPr>
        <w:t></w:t>
      </w:r>
      <w:r w:rsidRPr="002D2219">
        <w:rPr>
          <w:lang w:val="en-GB"/>
        </w:rPr>
        <w:t xml:space="preserve">, the process gain, </w:t>
      </w:r>
      <w:r w:rsidRPr="002D2219">
        <w:rPr>
          <w:i/>
          <w:lang w:val="en-GB"/>
        </w:rPr>
        <w:t>K</w:t>
      </w:r>
      <w:r w:rsidRPr="002D2219">
        <w:rPr>
          <w:vertAlign w:val="subscript"/>
          <w:lang w:val="en-GB"/>
        </w:rPr>
        <w:t>p</w:t>
      </w:r>
      <w:r w:rsidRPr="002D2219">
        <w:rPr>
          <w:lang w:val="en-GB"/>
        </w:rPr>
        <w:t xml:space="preserve">, the dead time, </w:t>
      </w:r>
      <w:r w:rsidRPr="002D2219">
        <w:rPr>
          <w:rFonts w:ascii="Symbol" w:hAnsi="Symbol"/>
          <w:lang w:val="en-GB"/>
        </w:rPr>
        <w:t></w:t>
      </w:r>
      <w:r w:rsidRPr="002D2219">
        <w:rPr>
          <w:lang w:val="en-GB"/>
        </w:rPr>
        <w:t xml:space="preserve">, along with the model validation criteria (FIT, NRMSE, IAE) determined by Pitops are shown in Table 1. </w:t>
      </w:r>
    </w:p>
    <w:p w14:paraId="0C632829" w14:textId="77777777" w:rsidR="00200E61" w:rsidRPr="002D2219" w:rsidRDefault="00200E61" w:rsidP="00691114">
      <w:pPr>
        <w:pStyle w:val="CETBodytext"/>
        <w:rPr>
          <w:lang w:val="en-GB"/>
        </w:rPr>
      </w:pPr>
    </w:p>
    <w:p w14:paraId="38866EC1" w14:textId="6201BD4D" w:rsidR="00BA0478" w:rsidRPr="002D2219" w:rsidRDefault="000F07DD" w:rsidP="006C044C">
      <w:pPr>
        <w:pStyle w:val="CETBodytext"/>
        <w:rPr>
          <w:lang w:val="en-GB"/>
        </w:rPr>
      </w:pPr>
      <w:r>
        <w:rPr>
          <w:noProof/>
          <w:lang w:val="hr-HR" w:eastAsia="hr-HR"/>
        </w:rPr>
        <w:lastRenderedPageBreak/>
        <w:drawing>
          <wp:inline distT="0" distB="0" distL="0" distR="0" wp14:anchorId="77C82A55" wp14:editId="1C269C34">
            <wp:extent cx="5760000" cy="1786143"/>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odel.png"/>
                    <pic:cNvPicPr/>
                  </pic:nvPicPr>
                  <pic:blipFill>
                    <a:blip r:embed="rId13">
                      <a:extLst>
                        <a:ext uri="{28A0092B-C50C-407E-A947-70E740481C1C}">
                          <a14:useLocalDpi xmlns:a14="http://schemas.microsoft.com/office/drawing/2010/main" val="0"/>
                        </a:ext>
                      </a:extLst>
                    </a:blip>
                    <a:stretch>
                      <a:fillRect/>
                    </a:stretch>
                  </pic:blipFill>
                  <pic:spPr>
                    <a:xfrm>
                      <a:off x="0" y="0"/>
                      <a:ext cx="5760000" cy="1786143"/>
                    </a:xfrm>
                    <a:prstGeom prst="rect">
                      <a:avLst/>
                    </a:prstGeom>
                  </pic:spPr>
                </pic:pic>
              </a:graphicData>
            </a:graphic>
          </wp:inline>
        </w:drawing>
      </w:r>
    </w:p>
    <w:p w14:paraId="04D25754" w14:textId="68AD1632" w:rsidR="00F82E62" w:rsidRPr="002D2219" w:rsidRDefault="00F82E62" w:rsidP="00D718BC">
      <w:pPr>
        <w:pStyle w:val="CETCaption"/>
        <w:jc w:val="center"/>
      </w:pPr>
      <w:r w:rsidRPr="002D2219">
        <w:t xml:space="preserve">Figure </w:t>
      </w:r>
      <w:r w:rsidR="0015191F">
        <w:t>3</w:t>
      </w:r>
      <w:r w:rsidRPr="002D2219">
        <w:t>: Dynamic response</w:t>
      </w:r>
      <w:r w:rsidR="00D718BC" w:rsidRPr="002D2219">
        <w:t xml:space="preserve"> (a.) </w:t>
      </w:r>
      <w:r w:rsidRPr="002D2219">
        <w:t xml:space="preserve">to a step change in controller output from 35 % to 50 % </w:t>
      </w:r>
      <w:r w:rsidR="0015191F">
        <w:t xml:space="preserve">(b.), </w:t>
      </w:r>
      <w:r w:rsidRPr="002D2219">
        <w:t>a screenshot from Pitops.</w:t>
      </w:r>
    </w:p>
    <w:p w14:paraId="68D26C6E" w14:textId="4EB5CC06" w:rsidR="003865D4" w:rsidRPr="002D2219" w:rsidRDefault="003865D4" w:rsidP="003865D4">
      <w:pPr>
        <w:pStyle w:val="CETTabletitle"/>
      </w:pPr>
      <w:r w:rsidRPr="002D2219">
        <w:t xml:space="preserve">Table 1: </w:t>
      </w:r>
      <w:r w:rsidR="00304693" w:rsidRPr="002D2219">
        <w:t xml:space="preserve">Determined process model parameters and model validation criteria.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1134"/>
        <w:gridCol w:w="1134"/>
      </w:tblGrid>
      <w:tr w:rsidR="00364074" w:rsidRPr="002D2219" w14:paraId="3C09FD58" w14:textId="17BBAFED" w:rsidTr="00E074D8">
        <w:tc>
          <w:tcPr>
            <w:tcW w:w="1134" w:type="dxa"/>
            <w:tcBorders>
              <w:top w:val="single" w:sz="12" w:space="0" w:color="008000"/>
              <w:bottom w:val="single" w:sz="6" w:space="0" w:color="008000"/>
            </w:tcBorders>
            <w:shd w:val="clear" w:color="auto" w:fill="FFFFFF"/>
          </w:tcPr>
          <w:p w14:paraId="0AD4521B" w14:textId="4050A9A4" w:rsidR="00364074" w:rsidRPr="002D2219" w:rsidRDefault="00364074" w:rsidP="00E074D8">
            <w:pPr>
              <w:pStyle w:val="CETBodytext"/>
              <w:rPr>
                <w:lang w:val="en-GB"/>
              </w:rPr>
            </w:pPr>
            <w:r w:rsidRPr="002D2219">
              <w:rPr>
                <w:rFonts w:ascii="Symbol" w:hAnsi="Symbol"/>
                <w:lang w:val="en-GB"/>
              </w:rPr>
              <w:t></w:t>
            </w:r>
            <w:r w:rsidRPr="002D2219">
              <w:rPr>
                <w:lang w:val="en-GB"/>
              </w:rPr>
              <w:t>, min</w:t>
            </w:r>
          </w:p>
        </w:tc>
        <w:tc>
          <w:tcPr>
            <w:tcW w:w="1134" w:type="dxa"/>
            <w:tcBorders>
              <w:top w:val="single" w:sz="12" w:space="0" w:color="008000"/>
              <w:bottom w:val="single" w:sz="6" w:space="0" w:color="008000"/>
            </w:tcBorders>
            <w:shd w:val="clear" w:color="auto" w:fill="FFFFFF"/>
          </w:tcPr>
          <w:p w14:paraId="0E5E81A5" w14:textId="044BD55D" w:rsidR="00364074" w:rsidRPr="002D2219" w:rsidRDefault="00364074" w:rsidP="00304693">
            <w:pPr>
              <w:pStyle w:val="CETBodytext"/>
              <w:rPr>
                <w:lang w:val="en-GB"/>
              </w:rPr>
            </w:pPr>
            <w:r w:rsidRPr="002D2219">
              <w:rPr>
                <w:i/>
                <w:lang w:val="en-GB"/>
              </w:rPr>
              <w:t>K</w:t>
            </w:r>
            <w:r w:rsidRPr="002D2219">
              <w:rPr>
                <w:vertAlign w:val="subscript"/>
                <w:lang w:val="en-GB"/>
              </w:rPr>
              <w:t>p</w:t>
            </w:r>
            <w:r w:rsidRPr="002D2219">
              <w:rPr>
                <w:lang w:val="en-GB"/>
              </w:rPr>
              <w:t>, °C/%</w:t>
            </w:r>
          </w:p>
        </w:tc>
        <w:tc>
          <w:tcPr>
            <w:tcW w:w="1134" w:type="dxa"/>
            <w:tcBorders>
              <w:top w:val="single" w:sz="12" w:space="0" w:color="008000"/>
              <w:bottom w:val="single" w:sz="6" w:space="0" w:color="008000"/>
            </w:tcBorders>
            <w:shd w:val="clear" w:color="auto" w:fill="FFFFFF"/>
          </w:tcPr>
          <w:p w14:paraId="5AA05462" w14:textId="7DA44322" w:rsidR="00364074" w:rsidRPr="002D2219" w:rsidRDefault="00364074" w:rsidP="00E074D8">
            <w:pPr>
              <w:pStyle w:val="CETBodytext"/>
              <w:ind w:right="-1"/>
              <w:rPr>
                <w:rFonts w:cs="Arial"/>
                <w:szCs w:val="18"/>
                <w:lang w:val="en-GB"/>
              </w:rPr>
            </w:pPr>
            <w:r w:rsidRPr="002D2219">
              <w:rPr>
                <w:rFonts w:ascii="Symbol" w:hAnsi="Symbol"/>
                <w:lang w:val="en-GB"/>
              </w:rPr>
              <w:t></w:t>
            </w:r>
            <w:r w:rsidRPr="002D2219">
              <w:rPr>
                <w:lang w:val="en-GB"/>
              </w:rPr>
              <w:t>, min</w:t>
            </w:r>
          </w:p>
        </w:tc>
        <w:tc>
          <w:tcPr>
            <w:tcW w:w="1134" w:type="dxa"/>
            <w:tcBorders>
              <w:top w:val="single" w:sz="12" w:space="0" w:color="008000"/>
              <w:bottom w:val="single" w:sz="6" w:space="0" w:color="008000"/>
            </w:tcBorders>
            <w:shd w:val="clear" w:color="auto" w:fill="FFFFFF"/>
          </w:tcPr>
          <w:p w14:paraId="565514D1" w14:textId="6427F3C4" w:rsidR="00364074" w:rsidRPr="002D2219" w:rsidRDefault="00364074" w:rsidP="00304693">
            <w:pPr>
              <w:pStyle w:val="CETBodytext"/>
              <w:rPr>
                <w:lang w:val="en-GB"/>
              </w:rPr>
            </w:pPr>
            <w:r w:rsidRPr="002D2219">
              <w:rPr>
                <w:lang w:val="en-GB"/>
              </w:rPr>
              <w:t>FIT, %</w:t>
            </w:r>
          </w:p>
        </w:tc>
        <w:tc>
          <w:tcPr>
            <w:tcW w:w="1134" w:type="dxa"/>
            <w:tcBorders>
              <w:top w:val="single" w:sz="12" w:space="0" w:color="008000"/>
              <w:bottom w:val="single" w:sz="6" w:space="0" w:color="008000"/>
            </w:tcBorders>
            <w:shd w:val="clear" w:color="auto" w:fill="FFFFFF"/>
          </w:tcPr>
          <w:p w14:paraId="5B4E7BDF" w14:textId="3C3A6D70" w:rsidR="00364074" w:rsidRPr="002D2219" w:rsidRDefault="00364074" w:rsidP="00304693">
            <w:pPr>
              <w:pStyle w:val="CETBodytext"/>
              <w:rPr>
                <w:lang w:val="en-GB"/>
              </w:rPr>
            </w:pPr>
            <w:r w:rsidRPr="002D2219">
              <w:rPr>
                <w:lang w:val="en-GB"/>
              </w:rPr>
              <w:t>NRMSE, -</w:t>
            </w:r>
          </w:p>
        </w:tc>
        <w:tc>
          <w:tcPr>
            <w:tcW w:w="1134" w:type="dxa"/>
            <w:tcBorders>
              <w:top w:val="single" w:sz="12" w:space="0" w:color="008000"/>
              <w:bottom w:val="single" w:sz="6" w:space="0" w:color="008000"/>
            </w:tcBorders>
            <w:shd w:val="clear" w:color="auto" w:fill="FFFFFF"/>
          </w:tcPr>
          <w:p w14:paraId="1658CDCC" w14:textId="157DDBD6" w:rsidR="00364074" w:rsidRPr="002D2219" w:rsidRDefault="00364074" w:rsidP="006F3B50">
            <w:pPr>
              <w:pStyle w:val="CETBodytext"/>
              <w:rPr>
                <w:lang w:val="en-GB"/>
              </w:rPr>
            </w:pPr>
            <w:r w:rsidRPr="002D2219">
              <w:rPr>
                <w:lang w:val="en-GB"/>
              </w:rPr>
              <w:t>IAE, °C</w:t>
            </w:r>
          </w:p>
        </w:tc>
      </w:tr>
      <w:tr w:rsidR="00364074" w:rsidRPr="002D2219" w14:paraId="281A3CD5" w14:textId="67DBD583" w:rsidTr="00E074D8">
        <w:tc>
          <w:tcPr>
            <w:tcW w:w="1134" w:type="dxa"/>
            <w:shd w:val="clear" w:color="auto" w:fill="FFFFFF"/>
          </w:tcPr>
          <w:p w14:paraId="17920122" w14:textId="71E74E32" w:rsidR="00364074" w:rsidRPr="002D2219" w:rsidRDefault="000F07DD" w:rsidP="000F07DD">
            <w:pPr>
              <w:pStyle w:val="CETBodytext"/>
              <w:rPr>
                <w:lang w:val="en-GB"/>
              </w:rPr>
            </w:pPr>
            <w:r>
              <w:rPr>
                <w:lang w:val="en-GB"/>
              </w:rPr>
              <w:t>13,62794</w:t>
            </w:r>
          </w:p>
        </w:tc>
        <w:tc>
          <w:tcPr>
            <w:tcW w:w="1134" w:type="dxa"/>
            <w:shd w:val="clear" w:color="auto" w:fill="FFFFFF"/>
          </w:tcPr>
          <w:p w14:paraId="5742309E" w14:textId="67A36A1F" w:rsidR="00364074" w:rsidRPr="002D2219" w:rsidRDefault="00364074" w:rsidP="00E074D8">
            <w:pPr>
              <w:pStyle w:val="CETBodytext"/>
              <w:rPr>
                <w:lang w:val="en-GB"/>
              </w:rPr>
            </w:pPr>
            <w:r w:rsidRPr="002D2219">
              <w:rPr>
                <w:lang w:val="en-GB"/>
              </w:rPr>
              <w:t>2</w:t>
            </w:r>
            <w:r w:rsidR="000F07DD">
              <w:rPr>
                <w:lang w:val="en-GB"/>
              </w:rPr>
              <w:t>,74994</w:t>
            </w:r>
          </w:p>
        </w:tc>
        <w:tc>
          <w:tcPr>
            <w:tcW w:w="1134" w:type="dxa"/>
            <w:shd w:val="clear" w:color="auto" w:fill="FFFFFF"/>
          </w:tcPr>
          <w:p w14:paraId="2150113D" w14:textId="334FDE12" w:rsidR="00364074" w:rsidRPr="002D2219" w:rsidRDefault="000F07DD" w:rsidP="00E074D8">
            <w:pPr>
              <w:pStyle w:val="CETBodytext"/>
              <w:ind w:right="-1"/>
              <w:rPr>
                <w:rFonts w:cs="Arial"/>
                <w:szCs w:val="18"/>
                <w:lang w:val="en-GB"/>
              </w:rPr>
            </w:pPr>
            <w:r>
              <w:rPr>
                <w:rFonts w:cs="Arial"/>
                <w:szCs w:val="18"/>
                <w:lang w:val="en-GB"/>
              </w:rPr>
              <w:t>2,7547</w:t>
            </w:r>
          </w:p>
        </w:tc>
        <w:tc>
          <w:tcPr>
            <w:tcW w:w="1134" w:type="dxa"/>
            <w:shd w:val="clear" w:color="auto" w:fill="FFFFFF"/>
          </w:tcPr>
          <w:p w14:paraId="0E6A7565" w14:textId="538A54CC" w:rsidR="00364074" w:rsidRPr="002D2219" w:rsidRDefault="000F07DD" w:rsidP="000F07DD">
            <w:pPr>
              <w:pStyle w:val="CETBodytext"/>
              <w:rPr>
                <w:lang w:val="en-GB"/>
              </w:rPr>
            </w:pPr>
            <w:r>
              <w:rPr>
                <w:lang w:val="en-GB"/>
              </w:rPr>
              <w:t>99,79</w:t>
            </w:r>
          </w:p>
        </w:tc>
        <w:tc>
          <w:tcPr>
            <w:tcW w:w="1134" w:type="dxa"/>
            <w:shd w:val="clear" w:color="auto" w:fill="FFFFFF"/>
          </w:tcPr>
          <w:p w14:paraId="4022BCA0" w14:textId="38C3E39F" w:rsidR="00364074" w:rsidRPr="002D2219" w:rsidRDefault="00364074" w:rsidP="00304693">
            <w:pPr>
              <w:pStyle w:val="CETBodytext"/>
              <w:rPr>
                <w:lang w:val="en-GB"/>
              </w:rPr>
            </w:pPr>
            <w:r w:rsidRPr="002D2219">
              <w:rPr>
                <w:lang w:val="en-GB"/>
              </w:rPr>
              <w:t>0</w:t>
            </w:r>
            <w:r w:rsidR="000F07DD">
              <w:rPr>
                <w:lang w:val="en-GB"/>
              </w:rPr>
              <w:t>,046</w:t>
            </w:r>
          </w:p>
        </w:tc>
        <w:tc>
          <w:tcPr>
            <w:tcW w:w="1134" w:type="dxa"/>
            <w:shd w:val="clear" w:color="auto" w:fill="FFFFFF"/>
          </w:tcPr>
          <w:p w14:paraId="779AEA96" w14:textId="380DB129" w:rsidR="00364074" w:rsidRPr="002D2219" w:rsidRDefault="000F07DD" w:rsidP="00304693">
            <w:pPr>
              <w:pStyle w:val="CETBodytext"/>
              <w:rPr>
                <w:lang w:val="en-GB"/>
              </w:rPr>
            </w:pPr>
            <w:r>
              <w:rPr>
                <w:lang w:val="en-GB"/>
              </w:rPr>
              <w:t>0,654</w:t>
            </w:r>
          </w:p>
        </w:tc>
      </w:tr>
    </w:tbl>
    <w:p w14:paraId="1EA621DC" w14:textId="77777777" w:rsidR="00304693" w:rsidRPr="002D2219" w:rsidRDefault="00304693" w:rsidP="00691114">
      <w:pPr>
        <w:pStyle w:val="CETBodytext"/>
        <w:rPr>
          <w:lang w:val="en-GB"/>
        </w:rPr>
      </w:pPr>
    </w:p>
    <w:p w14:paraId="47A2799E" w14:textId="39605EE7" w:rsidR="00304693" w:rsidRDefault="00E33463" w:rsidP="00691114">
      <w:pPr>
        <w:pStyle w:val="CETBodytext"/>
        <w:rPr>
          <w:lang w:val="en-GB"/>
        </w:rPr>
      </w:pPr>
      <w:r w:rsidRPr="002D2219">
        <w:rPr>
          <w:lang w:val="en-GB"/>
        </w:rPr>
        <w:t>Here, t</w:t>
      </w:r>
      <w:r w:rsidR="00304693" w:rsidRPr="002D2219">
        <w:rPr>
          <w:lang w:val="en-GB"/>
        </w:rPr>
        <w:t xml:space="preserve">he FIT criterion of a model describes </w:t>
      </w:r>
      <w:r w:rsidRPr="002D2219">
        <w:rPr>
          <w:lang w:val="en-GB"/>
        </w:rPr>
        <w:t xml:space="preserve">the goodness of fit to </w:t>
      </w:r>
      <w:r w:rsidR="009B7903">
        <w:rPr>
          <w:lang w:val="en-GB"/>
        </w:rPr>
        <w:t>P</w:t>
      </w:r>
      <w:r w:rsidRPr="002D2219">
        <w:rPr>
          <w:lang w:val="en-GB"/>
        </w:rPr>
        <w:t xml:space="preserve">V values. It ranges from </w:t>
      </w:r>
      <w:r w:rsidR="00304693" w:rsidRPr="002D2219">
        <w:rPr>
          <w:lang w:val="en-GB"/>
        </w:rPr>
        <w:t xml:space="preserve">0% </w:t>
      </w:r>
      <w:r w:rsidRPr="002D2219">
        <w:rPr>
          <w:lang w:val="en-GB"/>
        </w:rPr>
        <w:t>to</w:t>
      </w:r>
      <w:r w:rsidR="00304693" w:rsidRPr="002D2219">
        <w:rPr>
          <w:lang w:val="en-GB"/>
        </w:rPr>
        <w:t xml:space="preserve"> 100%, </w:t>
      </w:r>
      <w:r w:rsidRPr="002D2219">
        <w:rPr>
          <w:lang w:val="en-GB"/>
        </w:rPr>
        <w:t>where</w:t>
      </w:r>
      <w:r w:rsidR="000F07DD">
        <w:rPr>
          <w:lang w:val="en-GB"/>
        </w:rPr>
        <w:t>as</w:t>
      </w:r>
      <w:r w:rsidR="00304693" w:rsidRPr="002D2219">
        <w:rPr>
          <w:lang w:val="en-GB"/>
        </w:rPr>
        <w:t xml:space="preserve"> 100% </w:t>
      </w:r>
      <w:r w:rsidRPr="002D2219">
        <w:rPr>
          <w:lang w:val="en-GB"/>
        </w:rPr>
        <w:t xml:space="preserve">indicates the perfect model. </w:t>
      </w:r>
      <w:r w:rsidR="00304693" w:rsidRPr="002D2219">
        <w:rPr>
          <w:lang w:val="en-GB"/>
        </w:rPr>
        <w:t>The NRMSE (Normalized Root-Mean-Square Error) criterion is the normalized standard deviation of the residuals (prediction errors), i.e. it gives information about how concentrated the data is around the line of best fit.</w:t>
      </w:r>
      <w:r w:rsidR="006F3B50" w:rsidRPr="002D2219">
        <w:rPr>
          <w:lang w:val="en-GB"/>
        </w:rPr>
        <w:t xml:space="preserve"> </w:t>
      </w:r>
      <w:r w:rsidR="00304693" w:rsidRPr="002D2219">
        <w:rPr>
          <w:lang w:val="en-GB"/>
        </w:rPr>
        <w:t xml:space="preserve">NRMSE </w:t>
      </w:r>
      <w:r w:rsidRPr="002D2219">
        <w:rPr>
          <w:lang w:val="en-GB"/>
        </w:rPr>
        <w:t>ranges from</w:t>
      </w:r>
      <w:r w:rsidR="00304693" w:rsidRPr="002D2219">
        <w:rPr>
          <w:lang w:val="en-GB"/>
        </w:rPr>
        <w:t xml:space="preserve"> 0 </w:t>
      </w:r>
      <w:r w:rsidRPr="002D2219">
        <w:rPr>
          <w:lang w:val="en-GB"/>
        </w:rPr>
        <w:t>to</w:t>
      </w:r>
      <w:r w:rsidR="00304693" w:rsidRPr="002D2219">
        <w:rPr>
          <w:lang w:val="en-GB"/>
        </w:rPr>
        <w:t xml:space="preserve"> 1, </w:t>
      </w:r>
      <w:r w:rsidRPr="002D2219">
        <w:rPr>
          <w:lang w:val="en-GB"/>
        </w:rPr>
        <w:t>where</w:t>
      </w:r>
      <w:r w:rsidR="00304693" w:rsidRPr="002D2219">
        <w:rPr>
          <w:lang w:val="en-GB"/>
        </w:rPr>
        <w:t xml:space="preserve"> </w:t>
      </w:r>
      <w:r w:rsidRPr="002D2219">
        <w:rPr>
          <w:lang w:val="en-GB"/>
        </w:rPr>
        <w:t xml:space="preserve">NRMSE = </w:t>
      </w:r>
      <w:r w:rsidR="00304693" w:rsidRPr="002D2219">
        <w:rPr>
          <w:lang w:val="en-GB"/>
        </w:rPr>
        <w:t>0</w:t>
      </w:r>
      <w:r w:rsidRPr="002D2219">
        <w:rPr>
          <w:lang w:val="en-GB"/>
        </w:rPr>
        <w:t xml:space="preserve"> indicates that the model is perfect. </w:t>
      </w:r>
      <w:r w:rsidR="00304693" w:rsidRPr="002D2219">
        <w:rPr>
          <w:lang w:val="en-GB"/>
        </w:rPr>
        <w:t xml:space="preserve">The IAE (Integral Absolute Error) criterion is the sum of all areas where values predicted by the model are above or below the </w:t>
      </w:r>
      <w:r w:rsidR="009B7903">
        <w:rPr>
          <w:lang w:val="en-GB"/>
        </w:rPr>
        <w:t>P</w:t>
      </w:r>
      <w:r w:rsidR="00304693" w:rsidRPr="002D2219">
        <w:rPr>
          <w:lang w:val="en-GB"/>
        </w:rPr>
        <w:t xml:space="preserve">V value, divided by the number of samples. IAE </w:t>
      </w:r>
      <w:r w:rsidRPr="002D2219">
        <w:rPr>
          <w:lang w:val="en-GB"/>
        </w:rPr>
        <w:t xml:space="preserve">ranges from </w:t>
      </w:r>
      <w:r w:rsidR="00304693" w:rsidRPr="002D2219">
        <w:rPr>
          <w:lang w:val="en-GB"/>
        </w:rPr>
        <w:t xml:space="preserve">0 </w:t>
      </w:r>
      <w:r w:rsidRPr="002D2219">
        <w:rPr>
          <w:lang w:val="en-GB"/>
        </w:rPr>
        <w:t>to</w:t>
      </w:r>
      <w:r w:rsidR="00304693" w:rsidRPr="002D2219">
        <w:rPr>
          <w:lang w:val="en-GB"/>
        </w:rPr>
        <w:t xml:space="preserve"> infinity, </w:t>
      </w:r>
      <w:r w:rsidRPr="002D2219">
        <w:rPr>
          <w:lang w:val="en-GB"/>
        </w:rPr>
        <w:t>where</w:t>
      </w:r>
      <w:r w:rsidR="00304693" w:rsidRPr="002D2219">
        <w:rPr>
          <w:lang w:val="en-GB"/>
        </w:rPr>
        <w:t xml:space="preserve"> </w:t>
      </w:r>
      <w:r w:rsidRPr="002D2219">
        <w:rPr>
          <w:lang w:val="en-GB"/>
        </w:rPr>
        <w:t xml:space="preserve">IAE = </w:t>
      </w:r>
      <w:r w:rsidR="00304693" w:rsidRPr="002D2219">
        <w:rPr>
          <w:lang w:val="en-GB"/>
        </w:rPr>
        <w:t xml:space="preserve">0 </w:t>
      </w:r>
      <w:r w:rsidRPr="002D2219">
        <w:rPr>
          <w:lang w:val="en-GB"/>
        </w:rPr>
        <w:t xml:space="preserve">implies that </w:t>
      </w:r>
      <w:r w:rsidR="00304693" w:rsidRPr="002D2219">
        <w:rPr>
          <w:lang w:val="en-GB"/>
        </w:rPr>
        <w:t>the model</w:t>
      </w:r>
      <w:r w:rsidRPr="002D2219">
        <w:rPr>
          <w:lang w:val="en-GB"/>
        </w:rPr>
        <w:t xml:space="preserve"> is perfect. Obtained </w:t>
      </w:r>
      <w:r w:rsidR="00671D09" w:rsidRPr="002D2219">
        <w:rPr>
          <w:lang w:val="en-GB"/>
        </w:rPr>
        <w:t xml:space="preserve">validation criteria indicate high </w:t>
      </w:r>
      <w:r w:rsidR="002D2219" w:rsidRPr="002D2219">
        <w:rPr>
          <w:lang w:val="en-GB"/>
        </w:rPr>
        <w:t xml:space="preserve">goodness of fit. </w:t>
      </w:r>
      <w:r w:rsidR="00671D09" w:rsidRPr="002D2219">
        <w:rPr>
          <w:lang w:val="en-GB"/>
        </w:rPr>
        <w:t xml:space="preserve">  </w:t>
      </w:r>
    </w:p>
    <w:p w14:paraId="0DF8DD9F" w14:textId="1F5AC4C7" w:rsidR="00200E61" w:rsidRDefault="00200E61" w:rsidP="00691114">
      <w:pPr>
        <w:pStyle w:val="CETBodytext"/>
        <w:rPr>
          <w:lang w:val="en-GB"/>
        </w:rPr>
      </w:pPr>
    </w:p>
    <w:p w14:paraId="264CCC80" w14:textId="7B392484" w:rsidR="00200E61" w:rsidRPr="00200E61" w:rsidRDefault="00200E61" w:rsidP="00200E61">
      <w:pPr>
        <w:pStyle w:val="CETheadingx"/>
        <w:rPr>
          <w:lang w:val="en-GB"/>
        </w:rPr>
      </w:pPr>
      <w:r>
        <w:t xml:space="preserve">Software assisted determination of </w:t>
      </w:r>
      <w:r>
        <w:rPr>
          <w:lang w:val="en-GB"/>
        </w:rPr>
        <w:t>PID tuning parameters</w:t>
      </w:r>
    </w:p>
    <w:p w14:paraId="783BB99E" w14:textId="77777777" w:rsidR="00200E61" w:rsidRPr="002D2219" w:rsidRDefault="00200E61" w:rsidP="00691114">
      <w:pPr>
        <w:pStyle w:val="CETBodytext"/>
        <w:rPr>
          <w:lang w:val="en-GB"/>
        </w:rPr>
      </w:pPr>
    </w:p>
    <w:p w14:paraId="5DC390E4" w14:textId="68437728" w:rsidR="00304693" w:rsidRDefault="002D2219" w:rsidP="00691114">
      <w:pPr>
        <w:pStyle w:val="CETBodytext"/>
        <w:rPr>
          <w:lang w:val="en-GB"/>
        </w:rPr>
      </w:pPr>
      <w:r w:rsidRPr="002D2219">
        <w:rPr>
          <w:lang w:val="en-GB"/>
        </w:rPr>
        <w:t>Based on determined process parameters, the PID tuning paramet</w:t>
      </w:r>
      <w:r>
        <w:rPr>
          <w:lang w:val="en-GB"/>
        </w:rPr>
        <w:t>ers were determined in PID/APC O</w:t>
      </w:r>
      <w:r w:rsidRPr="002D2219">
        <w:rPr>
          <w:lang w:val="en-GB"/>
        </w:rPr>
        <w:t xml:space="preserve">ptimization module. </w:t>
      </w:r>
      <w:r w:rsidR="00615470">
        <w:rPr>
          <w:lang w:val="en-GB"/>
        </w:rPr>
        <w:t xml:space="preserve">In PID Configuration window, instrument ranges (CV range, MV range) along with PID scan time and tuning time unit were matched with process settings in Simcet. While Pitops offers additional PID setting, such as initial PID output, PV sample delay, valve characterizer and transformation of PV signal, they were not edited here and process linearity was assumed. </w:t>
      </w:r>
    </w:p>
    <w:p w14:paraId="1EEF5988" w14:textId="77777777" w:rsidR="00615470" w:rsidRDefault="00615470" w:rsidP="00691114">
      <w:pPr>
        <w:pStyle w:val="CETBodytext"/>
        <w:rPr>
          <w:lang w:val="en-GB"/>
        </w:rPr>
      </w:pPr>
    </w:p>
    <w:p w14:paraId="73AF26D1" w14:textId="1C942E2F" w:rsidR="00064E95" w:rsidRPr="00064E95" w:rsidRDefault="00064E95" w:rsidP="00064E95">
      <w:pPr>
        <w:pStyle w:val="CETBodytext"/>
      </w:pPr>
      <w:r>
        <w:t xml:space="preserve">As a PID algorithm, equation marked as B0 </w:t>
      </w:r>
      <w:r w:rsidR="009B7903">
        <w:t xml:space="preserve">in PID Configuration window </w:t>
      </w:r>
      <w:r>
        <w:t>was used</w:t>
      </w:r>
      <w:r w:rsidR="006057AF">
        <w:t xml:space="preserve"> since it is one of the most </w:t>
      </w:r>
      <w:r w:rsidR="009B7903">
        <w:t xml:space="preserve">popular ones. In the discrete time </w:t>
      </w:r>
      <w:r w:rsidR="004C519E">
        <w:t>domain,</w:t>
      </w:r>
      <w:r w:rsidR="009B7903">
        <w:t xml:space="preserve"> it is</w:t>
      </w:r>
      <w:r>
        <w:t>:</w:t>
      </w:r>
    </w:p>
    <w:tbl>
      <w:tblPr>
        <w:tblW w:w="5000" w:type="pct"/>
        <w:tblLook w:val="04A0" w:firstRow="1" w:lastRow="0" w:firstColumn="1" w:lastColumn="0" w:noHBand="0" w:noVBand="1"/>
      </w:tblPr>
      <w:tblGrid>
        <w:gridCol w:w="7982"/>
        <w:gridCol w:w="805"/>
      </w:tblGrid>
      <w:tr w:rsidR="00064E95" w:rsidRPr="002D2219" w14:paraId="77727A2E" w14:textId="77777777" w:rsidTr="00E074D8">
        <w:tc>
          <w:tcPr>
            <w:tcW w:w="7982" w:type="dxa"/>
            <w:shd w:val="clear" w:color="auto" w:fill="auto"/>
            <w:vAlign w:val="center"/>
          </w:tcPr>
          <w:p w14:paraId="58702766" w14:textId="08D1832C" w:rsidR="00064E95" w:rsidRPr="002D2219" w:rsidRDefault="00477BD9" w:rsidP="00E074D8">
            <w:pPr>
              <w:pStyle w:val="CETEquation"/>
            </w:pPr>
            <m:oMathPara>
              <m:oMathParaPr>
                <m:jc m:val="left"/>
              </m:oMathParaPr>
              <m:oMath>
                <m:sSub>
                  <m:sSubPr>
                    <m:ctrlPr>
                      <w:rPr>
                        <w:rFonts w:ascii="Cambria Math" w:hAnsi="Cambria Math"/>
                        <w:i/>
                        <w:iCs/>
                      </w:rPr>
                    </m:ctrlPr>
                  </m:sSubPr>
                  <m:e>
                    <m:r>
                      <w:rPr>
                        <w:rFonts w:ascii="Cambria Math" w:hAnsi="Cambria Math"/>
                      </w:rPr>
                      <m:t>OP</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OP</m:t>
                    </m:r>
                  </m:e>
                  <m:sub>
                    <m:r>
                      <w:rPr>
                        <w:rFonts w:ascii="Cambria Math" w:hAnsi="Cambria Math"/>
                      </w:rPr>
                      <m:t>n-1</m:t>
                    </m:r>
                  </m:sub>
                </m:sSub>
                <m:r>
                  <w:rPr>
                    <w:rFonts w:ascii="Cambria Math" w:hAnsi="Cambria Math"/>
                  </w:rPr>
                  <m:t>+P</m:t>
                </m:r>
                <m:d>
                  <m:dPr>
                    <m:begChr m:val="["/>
                    <m:endChr m:val="]"/>
                    <m:ctrlPr>
                      <w:rPr>
                        <w:rFonts w:ascii="Cambria Math" w:hAnsi="Cambria Math"/>
                        <w:i/>
                        <w:iCs/>
                      </w:rPr>
                    </m:ctrlPr>
                  </m:dPr>
                  <m:e>
                    <m:r>
                      <w:rPr>
                        <w:rFonts w:ascii="Cambria Math" w:hAnsi="Cambria Math"/>
                      </w:rPr>
                      <m:t>∆E+</m:t>
                    </m:r>
                    <m:f>
                      <m:fPr>
                        <m:ctrlPr>
                          <w:rPr>
                            <w:rFonts w:ascii="Cambria Math" w:hAnsi="Cambria Math"/>
                            <w:i/>
                            <w:iCs/>
                          </w:rPr>
                        </m:ctrlPr>
                      </m:fPr>
                      <m:num>
                        <m:r>
                          <w:rPr>
                            <w:rFonts w:ascii="Cambria Math" w:hAnsi="Cambria Math"/>
                          </w:rPr>
                          <m:t>E∙∆t</m:t>
                        </m:r>
                      </m:num>
                      <m:den>
                        <m:r>
                          <w:rPr>
                            <w:rFonts w:ascii="Cambria Math" w:hAnsi="Cambria Math"/>
                          </w:rPr>
                          <m:t>I</m:t>
                        </m:r>
                      </m:den>
                    </m:f>
                    <m:r>
                      <w:rPr>
                        <w:rFonts w:ascii="Cambria Math" w:hAnsi="Cambria Math"/>
                      </w:rPr>
                      <m:t>+D</m:t>
                    </m:r>
                    <m:f>
                      <m:fPr>
                        <m:ctrlPr>
                          <w:rPr>
                            <w:rFonts w:ascii="Cambria Math" w:hAnsi="Cambria Math"/>
                            <w:i/>
                            <w:iCs/>
                          </w:rPr>
                        </m:ctrlPr>
                      </m:fPr>
                      <m:num>
                        <m:r>
                          <w:rPr>
                            <w:rFonts w:ascii="Cambria Math" w:hAnsi="Cambria Math"/>
                          </w:rPr>
                          <m:t>∆</m:t>
                        </m:r>
                        <m:d>
                          <m:dPr>
                            <m:ctrlPr>
                              <w:rPr>
                                <w:rFonts w:ascii="Cambria Math" w:hAnsi="Cambria Math"/>
                                <w:i/>
                                <w:iCs/>
                              </w:rPr>
                            </m:ctrlPr>
                          </m:dPr>
                          <m:e>
                            <m:r>
                              <w:rPr>
                                <w:rFonts w:ascii="Cambria Math" w:hAnsi="Cambria Math"/>
                              </w:rPr>
                              <m:t>∆PV</m:t>
                            </m:r>
                          </m:e>
                        </m:d>
                      </m:num>
                      <m:den>
                        <m:r>
                          <w:rPr>
                            <w:rFonts w:ascii="Cambria Math" w:hAnsi="Cambria Math"/>
                          </w:rPr>
                          <m:t>∆t</m:t>
                        </m:r>
                      </m:den>
                    </m:f>
                  </m:e>
                </m:d>
              </m:oMath>
            </m:oMathPara>
          </w:p>
        </w:tc>
        <w:tc>
          <w:tcPr>
            <w:tcW w:w="805" w:type="dxa"/>
            <w:shd w:val="clear" w:color="auto" w:fill="auto"/>
            <w:vAlign w:val="center"/>
          </w:tcPr>
          <w:p w14:paraId="61A44EDE" w14:textId="69F0DC8B" w:rsidR="00064E95" w:rsidRPr="002D2219" w:rsidRDefault="00064E95" w:rsidP="00E074D8">
            <w:pPr>
              <w:pStyle w:val="CETEquation"/>
            </w:pPr>
            <w:r>
              <w:t>(2</w:t>
            </w:r>
            <w:r w:rsidRPr="002D2219">
              <w:t>)</w:t>
            </w:r>
          </w:p>
        </w:tc>
      </w:tr>
    </w:tbl>
    <w:p w14:paraId="0F89F0DC" w14:textId="2C4358AF" w:rsidR="0075236E" w:rsidRPr="008B6F6F" w:rsidRDefault="006057AF" w:rsidP="00064E95">
      <w:pPr>
        <w:pStyle w:val="CETBodytext"/>
      </w:pPr>
      <w:r>
        <w:t>where calculated OP</w:t>
      </w:r>
      <w:r w:rsidRPr="006057AF">
        <w:rPr>
          <w:vertAlign w:val="subscript"/>
        </w:rPr>
        <w:t>n</w:t>
      </w:r>
      <w:r>
        <w:t xml:space="preserve"> is the current control valve position, OP</w:t>
      </w:r>
      <w:r w:rsidRPr="006057AF">
        <w:rPr>
          <w:vertAlign w:val="subscript"/>
        </w:rPr>
        <w:t>n-1</w:t>
      </w:r>
      <w:r>
        <w:t xml:space="preserve">, the previous PID calculation, E is error </w:t>
      </w:r>
      <w:r w:rsidRPr="008B6F6F">
        <w:t xml:space="preserve">calculated as (PV-SP) and </w:t>
      </w:r>
      <w:r w:rsidRPr="008B6F6F">
        <w:rPr>
          <w:rFonts w:ascii="Symbol" w:hAnsi="Symbol"/>
        </w:rPr>
        <w:t></w:t>
      </w:r>
      <w:r w:rsidRPr="008B6F6F">
        <w:t>t is the PID scan time. Parameters P, I and D represent the proportional gain, the integral time and the derivative time, respectively.</w:t>
      </w:r>
      <w:r w:rsidR="00484F78" w:rsidRPr="008B6F6F">
        <w:t xml:space="preserve"> I</w:t>
      </w:r>
      <w:r w:rsidR="0075236E" w:rsidRPr="008B6F6F">
        <w:t>t is worth noting that i</w:t>
      </w:r>
      <w:r w:rsidR="00484F78" w:rsidRPr="008B6F6F">
        <w:t>n equation (2)</w:t>
      </w:r>
      <w:r w:rsidR="009924DF" w:rsidRPr="008B6F6F">
        <w:t>,</w:t>
      </w:r>
      <w:r w:rsidR="00484F78" w:rsidRPr="008B6F6F">
        <w:t xml:space="preserve"> the derivative acts on the deviation of PV</w:t>
      </w:r>
      <w:r w:rsidRPr="008B6F6F">
        <w:t xml:space="preserve"> </w:t>
      </w:r>
      <w:r w:rsidR="0075236E" w:rsidRPr="008B6F6F">
        <w:t>rather than on the error</w:t>
      </w:r>
      <w:r w:rsidR="008B6F6F" w:rsidRPr="008B6F6F">
        <w:t>.</w:t>
      </w:r>
    </w:p>
    <w:p w14:paraId="47F4C3A9" w14:textId="46D58892" w:rsidR="004A2B9E" w:rsidRDefault="00484F78" w:rsidP="008A65C2">
      <w:pPr>
        <w:pStyle w:val="CETBodytext"/>
      </w:pPr>
      <w:r w:rsidRPr="008B6F6F">
        <w:t xml:space="preserve">To calculate </w:t>
      </w:r>
      <w:r w:rsidR="004C63ED" w:rsidRPr="008B6F6F">
        <w:t xml:space="preserve">the </w:t>
      </w:r>
      <w:r w:rsidR="004A2B9E" w:rsidRPr="008B6F6F">
        <w:t>optimal PID parameters there</w:t>
      </w:r>
      <w:r w:rsidR="004C63ED" w:rsidRPr="008B6F6F">
        <w:t xml:space="preserve"> </w:t>
      </w:r>
      <w:r w:rsidRPr="008B6F6F">
        <w:t xml:space="preserve">several available tuning criteria </w:t>
      </w:r>
      <w:r w:rsidR="004A2B9E" w:rsidRPr="008B6F6F">
        <w:t>in the software. These include</w:t>
      </w:r>
      <w:r w:rsidR="004A2B9E">
        <w:t xml:space="preserve"> </w:t>
      </w:r>
      <w:r w:rsidR="00FD3B98">
        <w:t>tuning methods such as Ziegler-Nichols</w:t>
      </w:r>
      <w:r w:rsidR="005C0C89">
        <w:t xml:space="preserve">, </w:t>
      </w:r>
      <w:r w:rsidR="0068297D">
        <w:t>Cohen-Coon</w:t>
      </w:r>
      <w:r w:rsidR="00313709">
        <w:t xml:space="preserve">, Internal model control </w:t>
      </w:r>
      <w:r w:rsidR="005C0C89">
        <w:t>and Lambda PI and PID criteria</w:t>
      </w:r>
      <w:r w:rsidR="004A2B9E">
        <w:t xml:space="preserve">. While there is a range of possible methods that could be used in Pitops, in this work only the methods developed especially for Pitops were applied and compared. </w:t>
      </w:r>
    </w:p>
    <w:p w14:paraId="76FE54F5" w14:textId="4581F02C" w:rsidR="008A65C2" w:rsidRDefault="00E40BB3" w:rsidP="008A65C2">
      <w:pPr>
        <w:pStyle w:val="CETBodytext"/>
      </w:pPr>
      <w:r>
        <w:t xml:space="preserve">Considering that the controlled variable is the reactor temperature, PID controller action was considered. </w:t>
      </w:r>
      <w:r w:rsidR="00313709">
        <w:t xml:space="preserve">To determine </w:t>
      </w:r>
      <w:r w:rsidR="00544322">
        <w:t>“</w:t>
      </w:r>
      <w:r w:rsidR="00313709">
        <w:t>the upper limi</w:t>
      </w:r>
      <w:r w:rsidR="00544322">
        <w:t xml:space="preserve">t” of the PID parameters, that are on the aggressive side, </w:t>
      </w:r>
      <w:r w:rsidR="005C0C89">
        <w:t>the</w:t>
      </w:r>
      <w:r w:rsidR="00544322">
        <w:t xml:space="preserve"> Pitops</w:t>
      </w:r>
      <w:r w:rsidR="005C0C89">
        <w:t>-</w:t>
      </w:r>
      <w:r w:rsidR="00544322">
        <w:t xml:space="preserve">IAE method </w:t>
      </w:r>
      <w:r w:rsidR="009B7903">
        <w:t xml:space="preserve">(see Eq.2.) </w:t>
      </w:r>
      <w:r w:rsidR="00544322">
        <w:t xml:space="preserve">was used. </w:t>
      </w:r>
      <w:r w:rsidR="005C0C89">
        <w:t>The method minimizes the absolute error (PV-SP) over the simulation period</w:t>
      </w:r>
      <w:r w:rsidR="008B6F6F">
        <w:t xml:space="preserve"> </w:t>
      </w:r>
      <w:r w:rsidR="008B6F6F" w:rsidRPr="00A63140">
        <w:rPr>
          <w:color w:val="4F81BD" w:themeColor="accent1"/>
        </w:rPr>
        <w:t>(Seborg et al. 2016)</w:t>
      </w:r>
      <w:r w:rsidR="008B6F6F">
        <w:t xml:space="preserve">. </w:t>
      </w:r>
      <w:r w:rsidR="008A65C2">
        <w:t xml:space="preserve">PID tuning parameters obtained by the said method are listed in Table 2. </w:t>
      </w:r>
    </w:p>
    <w:tbl>
      <w:tblPr>
        <w:tblW w:w="5000" w:type="pct"/>
        <w:tblLook w:val="04A0" w:firstRow="1" w:lastRow="0" w:firstColumn="1" w:lastColumn="0" w:noHBand="0" w:noVBand="1"/>
      </w:tblPr>
      <w:tblGrid>
        <w:gridCol w:w="7982"/>
        <w:gridCol w:w="805"/>
      </w:tblGrid>
      <w:tr w:rsidR="004F3AE6" w:rsidRPr="002D2219" w14:paraId="16F1043F" w14:textId="77777777" w:rsidTr="00E074D8">
        <w:tc>
          <w:tcPr>
            <w:tcW w:w="7982" w:type="dxa"/>
            <w:shd w:val="clear" w:color="auto" w:fill="auto"/>
            <w:vAlign w:val="center"/>
          </w:tcPr>
          <w:p w14:paraId="4C09AF94" w14:textId="32AFC7B4" w:rsidR="004F3AE6" w:rsidRPr="002D2219" w:rsidRDefault="004F3AE6" w:rsidP="008B6F6F">
            <w:pPr>
              <w:pStyle w:val="CETEquation"/>
            </w:pPr>
            <m:oMathPara>
              <m:oMathParaPr>
                <m:jc m:val="left"/>
              </m:oMathParaPr>
              <m:oMath>
                <m:r>
                  <w:rPr>
                    <w:rFonts w:ascii="Cambria Math" w:hAnsi="Cambria Math"/>
                  </w:rPr>
                  <w:lastRenderedPageBreak/>
                  <m:t>IAE=</m:t>
                </m:r>
                <m:nary>
                  <m:naryPr>
                    <m:limLoc m:val="subSup"/>
                    <m:ctrlPr>
                      <w:rPr>
                        <w:rFonts w:ascii="Cambria Math" w:hAnsi="Cambria Math"/>
                        <w:i/>
                        <w:iCs/>
                      </w:rPr>
                    </m:ctrlPr>
                  </m:naryPr>
                  <m:sub>
                    <m:r>
                      <w:rPr>
                        <w:rFonts w:ascii="Cambria Math" w:hAnsi="Cambria Math"/>
                      </w:rPr>
                      <m:t>0</m:t>
                    </m:r>
                  </m:sub>
                  <m:sup>
                    <m:r>
                      <w:rPr>
                        <w:rFonts w:ascii="Cambria Math" w:hAnsi="Cambria Math"/>
                      </w:rPr>
                      <m:t>∞</m:t>
                    </m:r>
                  </m:sup>
                  <m:e>
                    <m:d>
                      <m:dPr>
                        <m:begChr m:val="|"/>
                        <m:endChr m:val="|"/>
                        <m:ctrlPr>
                          <w:rPr>
                            <w:rFonts w:ascii="Cambria Math" w:hAnsi="Cambria Math"/>
                            <w:i/>
                            <w:iCs/>
                          </w:rPr>
                        </m:ctrlPr>
                      </m:dPr>
                      <m:e>
                        <m:r>
                          <w:rPr>
                            <w:rFonts w:ascii="Cambria Math" w:hAnsi="Cambria Math"/>
                          </w:rPr>
                          <m:t>e(t)</m:t>
                        </m:r>
                      </m:e>
                    </m:d>
                    <m:r>
                      <w:rPr>
                        <w:rFonts w:ascii="Cambria Math" w:hAnsi="Cambria Math"/>
                      </w:rPr>
                      <m:t>dt</m:t>
                    </m:r>
                  </m:e>
                </m:nary>
              </m:oMath>
            </m:oMathPara>
          </w:p>
        </w:tc>
        <w:tc>
          <w:tcPr>
            <w:tcW w:w="805" w:type="dxa"/>
            <w:shd w:val="clear" w:color="auto" w:fill="auto"/>
            <w:vAlign w:val="center"/>
          </w:tcPr>
          <w:p w14:paraId="2AA1A984" w14:textId="77777777" w:rsidR="004F3AE6" w:rsidRPr="002D2219" w:rsidRDefault="004F3AE6" w:rsidP="00E074D8">
            <w:pPr>
              <w:pStyle w:val="CETEquation"/>
            </w:pPr>
            <w:r>
              <w:t>(2</w:t>
            </w:r>
            <w:r w:rsidRPr="002D2219">
              <w:t>)</w:t>
            </w:r>
          </w:p>
        </w:tc>
      </w:tr>
    </w:tbl>
    <w:p w14:paraId="7D66254A" w14:textId="77777777" w:rsidR="005C0C89" w:rsidRPr="002D2219" w:rsidRDefault="005C0C89" w:rsidP="005C0C89">
      <w:pPr>
        <w:pStyle w:val="CETTabletitle"/>
      </w:pPr>
      <w:r>
        <w:t>Table 2</w:t>
      </w:r>
      <w:r w:rsidRPr="002D2219">
        <w:t xml:space="preserve">: </w:t>
      </w:r>
      <w:r>
        <w:t>PID parameters obtained with Pitops-IAE method</w:t>
      </w:r>
      <w:r w:rsidRPr="002D2219">
        <w:t xml:space="preserv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44"/>
        <w:gridCol w:w="1644"/>
        <w:gridCol w:w="1644"/>
        <w:gridCol w:w="651"/>
      </w:tblGrid>
      <w:tr w:rsidR="009924DF" w:rsidRPr="002C275D" w14:paraId="78F7D388" w14:textId="77777777" w:rsidTr="008A65C2">
        <w:tc>
          <w:tcPr>
            <w:tcW w:w="1644" w:type="dxa"/>
            <w:tcBorders>
              <w:top w:val="single" w:sz="12" w:space="0" w:color="008000"/>
              <w:bottom w:val="single" w:sz="6" w:space="0" w:color="008000"/>
            </w:tcBorders>
            <w:shd w:val="clear" w:color="auto" w:fill="FFFFFF"/>
          </w:tcPr>
          <w:p w14:paraId="7F262CAA" w14:textId="77777777" w:rsidR="009924DF" w:rsidRPr="002C275D" w:rsidRDefault="009924DF" w:rsidP="00E074D8">
            <w:pPr>
              <w:pStyle w:val="CETBodytext"/>
            </w:pPr>
            <w:r>
              <w:t>Controller gain</w:t>
            </w:r>
          </w:p>
        </w:tc>
        <w:tc>
          <w:tcPr>
            <w:tcW w:w="1644" w:type="dxa"/>
            <w:tcBorders>
              <w:top w:val="single" w:sz="12" w:space="0" w:color="008000"/>
              <w:bottom w:val="single" w:sz="6" w:space="0" w:color="008000"/>
            </w:tcBorders>
            <w:shd w:val="clear" w:color="auto" w:fill="FFFFFF"/>
          </w:tcPr>
          <w:p w14:paraId="768C77AE" w14:textId="77777777" w:rsidR="009924DF" w:rsidRDefault="009924DF" w:rsidP="00E074D8">
            <w:pPr>
              <w:pStyle w:val="CETBodytext"/>
            </w:pPr>
            <w:r>
              <w:t xml:space="preserve">Integral time, </w:t>
            </w:r>
          </w:p>
          <w:p w14:paraId="05D84D38" w14:textId="77777777" w:rsidR="009924DF" w:rsidRPr="002C275D" w:rsidRDefault="009924DF" w:rsidP="00E074D8">
            <w:pPr>
              <w:pStyle w:val="CETBodytext"/>
            </w:pPr>
            <w:r>
              <w:t>min</w:t>
            </w:r>
          </w:p>
        </w:tc>
        <w:tc>
          <w:tcPr>
            <w:tcW w:w="1644" w:type="dxa"/>
            <w:tcBorders>
              <w:top w:val="single" w:sz="12" w:space="0" w:color="008000"/>
              <w:bottom w:val="single" w:sz="6" w:space="0" w:color="008000"/>
            </w:tcBorders>
            <w:shd w:val="clear" w:color="auto" w:fill="FFFFFF"/>
          </w:tcPr>
          <w:p w14:paraId="56170C53" w14:textId="77777777" w:rsidR="009924DF" w:rsidRDefault="009924DF" w:rsidP="00E074D8">
            <w:pPr>
              <w:pStyle w:val="CETBodytext"/>
            </w:pPr>
            <w:r>
              <w:t xml:space="preserve">Derivative time, </w:t>
            </w:r>
          </w:p>
          <w:p w14:paraId="4D40A1B8" w14:textId="77777777" w:rsidR="009924DF" w:rsidRPr="002C275D" w:rsidRDefault="009924DF" w:rsidP="00E074D8">
            <w:pPr>
              <w:pStyle w:val="CETBodytext"/>
            </w:pPr>
            <w:r>
              <w:t>min</w:t>
            </w:r>
          </w:p>
        </w:tc>
        <w:tc>
          <w:tcPr>
            <w:tcW w:w="651" w:type="dxa"/>
            <w:tcBorders>
              <w:top w:val="single" w:sz="12" w:space="0" w:color="008000"/>
              <w:bottom w:val="single" w:sz="6" w:space="0" w:color="008000"/>
            </w:tcBorders>
            <w:shd w:val="clear" w:color="auto" w:fill="FFFFFF"/>
          </w:tcPr>
          <w:p w14:paraId="4388FA51" w14:textId="77777777" w:rsidR="009924DF" w:rsidRPr="002C275D" w:rsidRDefault="009924DF" w:rsidP="00E074D8">
            <w:pPr>
              <w:pStyle w:val="CETBodytext"/>
            </w:pPr>
            <w:r>
              <w:t>Error</w:t>
            </w:r>
          </w:p>
        </w:tc>
      </w:tr>
      <w:tr w:rsidR="009924DF" w:rsidRPr="002C275D" w14:paraId="21012610" w14:textId="77777777" w:rsidTr="008A65C2">
        <w:tc>
          <w:tcPr>
            <w:tcW w:w="1644" w:type="dxa"/>
            <w:shd w:val="clear" w:color="auto" w:fill="FFFFFF"/>
          </w:tcPr>
          <w:p w14:paraId="49D5111B" w14:textId="5B5ED75D" w:rsidR="009924DF" w:rsidRPr="002C275D" w:rsidRDefault="009924DF" w:rsidP="00E074D8">
            <w:pPr>
              <w:pStyle w:val="CETBodytext"/>
            </w:pPr>
            <w:r>
              <w:t>4,</w:t>
            </w:r>
            <w:r w:rsidRPr="009924DF">
              <w:t>25166</w:t>
            </w:r>
          </w:p>
        </w:tc>
        <w:tc>
          <w:tcPr>
            <w:tcW w:w="1644" w:type="dxa"/>
            <w:shd w:val="clear" w:color="auto" w:fill="FFFFFF"/>
          </w:tcPr>
          <w:p w14:paraId="0DFE235C" w14:textId="6679027C" w:rsidR="009924DF" w:rsidRPr="002C275D" w:rsidRDefault="009924DF" w:rsidP="00E074D8">
            <w:pPr>
              <w:pStyle w:val="CETBodytext"/>
            </w:pPr>
            <w:r>
              <w:t>16,54945</w:t>
            </w:r>
          </w:p>
        </w:tc>
        <w:tc>
          <w:tcPr>
            <w:tcW w:w="1644" w:type="dxa"/>
            <w:shd w:val="clear" w:color="auto" w:fill="FFFFFF"/>
          </w:tcPr>
          <w:p w14:paraId="699F3F22" w14:textId="69E1D206" w:rsidR="009924DF" w:rsidRPr="002C275D" w:rsidRDefault="009924DF" w:rsidP="009924DF">
            <w:pPr>
              <w:pStyle w:val="CETBodytext"/>
            </w:pPr>
            <w:r>
              <w:t>1,53017</w:t>
            </w:r>
          </w:p>
        </w:tc>
        <w:tc>
          <w:tcPr>
            <w:tcW w:w="651" w:type="dxa"/>
            <w:shd w:val="clear" w:color="auto" w:fill="FFFFFF"/>
          </w:tcPr>
          <w:p w14:paraId="1D45FCD5" w14:textId="44464A77" w:rsidR="009924DF" w:rsidRPr="002C275D" w:rsidRDefault="00663EC3" w:rsidP="00663EC3">
            <w:pPr>
              <w:pStyle w:val="CETBodytext"/>
            </w:pPr>
            <w:r>
              <w:t>46,042</w:t>
            </w:r>
          </w:p>
        </w:tc>
      </w:tr>
    </w:tbl>
    <w:p w14:paraId="5602FE21" w14:textId="77777777" w:rsidR="005C0C89" w:rsidRDefault="005C0C89" w:rsidP="00064E95">
      <w:pPr>
        <w:pStyle w:val="CETBodytext"/>
      </w:pPr>
    </w:p>
    <w:p w14:paraId="13E23F2F" w14:textId="77777777" w:rsidR="008A65C2" w:rsidRDefault="008A65C2" w:rsidP="00064E95">
      <w:pPr>
        <w:pStyle w:val="CETBodytext"/>
      </w:pPr>
    </w:p>
    <w:p w14:paraId="601805EF" w14:textId="1475CDC6" w:rsidR="008A65C2" w:rsidRDefault="00663EC3" w:rsidP="008A65C2">
      <w:pPr>
        <w:pStyle w:val="CETBodytext"/>
        <w:jc w:val="center"/>
      </w:pPr>
      <w:r>
        <w:rPr>
          <w:noProof/>
          <w:lang w:val="hr-HR" w:eastAsia="hr-HR"/>
        </w:rPr>
        <w:drawing>
          <wp:inline distT="0" distB="0" distL="0" distR="0" wp14:anchorId="01594BED" wp14:editId="63F7C9D3">
            <wp:extent cx="3225484" cy="39600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AE.png"/>
                    <pic:cNvPicPr/>
                  </pic:nvPicPr>
                  <pic:blipFill>
                    <a:blip r:embed="rId14">
                      <a:extLst>
                        <a:ext uri="{28A0092B-C50C-407E-A947-70E740481C1C}">
                          <a14:useLocalDpi xmlns:a14="http://schemas.microsoft.com/office/drawing/2010/main" val="0"/>
                        </a:ext>
                      </a:extLst>
                    </a:blip>
                    <a:stretch>
                      <a:fillRect/>
                    </a:stretch>
                  </pic:blipFill>
                  <pic:spPr>
                    <a:xfrm>
                      <a:off x="0" y="0"/>
                      <a:ext cx="3225484" cy="3960000"/>
                    </a:xfrm>
                    <a:prstGeom prst="rect">
                      <a:avLst/>
                    </a:prstGeom>
                  </pic:spPr>
                </pic:pic>
              </a:graphicData>
            </a:graphic>
          </wp:inline>
        </w:drawing>
      </w:r>
    </w:p>
    <w:p w14:paraId="14A88CE6" w14:textId="3A478CAD" w:rsidR="008A65C2" w:rsidRDefault="008A65C2" w:rsidP="008A65C2">
      <w:pPr>
        <w:pStyle w:val="CETCaption"/>
        <w:jc w:val="center"/>
      </w:pPr>
      <w:r w:rsidRPr="002D2219">
        <w:t xml:space="preserve">Figure </w:t>
      </w:r>
      <w:r w:rsidR="0015191F">
        <w:t>4</w:t>
      </w:r>
      <w:r w:rsidRPr="002D2219">
        <w:t xml:space="preserve">: </w:t>
      </w:r>
      <w:r>
        <w:t>Results obtained with Pitops-IAE method: response to a set-point change (a.) OP vs time (b.) proportional, integral and derivative contributions.</w:t>
      </w:r>
    </w:p>
    <w:p w14:paraId="2A45521F" w14:textId="51D8F630" w:rsidR="00BE2F02" w:rsidRDefault="00BE2F02" w:rsidP="00BE2F02">
      <w:pPr>
        <w:pStyle w:val="CETBodytext"/>
      </w:pPr>
      <w:r>
        <w:t>Process response to a set-point change in a closed loop co</w:t>
      </w:r>
      <w:r w:rsidR="0015191F">
        <w:t>nfiguration is shown in Figure 4</w:t>
      </w:r>
      <w:r>
        <w:t xml:space="preserve">, along with the OP vs time </w:t>
      </w:r>
      <w:r w:rsidR="002E011D">
        <w:t xml:space="preserve">as well as the </w:t>
      </w:r>
      <w:r>
        <w:t xml:space="preserve">proportional, integral and derivative contributions. </w:t>
      </w:r>
    </w:p>
    <w:p w14:paraId="4084C80C" w14:textId="705576AC" w:rsidR="00515892" w:rsidRPr="008B6F6F" w:rsidRDefault="00515892" w:rsidP="00064E95">
      <w:pPr>
        <w:pStyle w:val="CETBodytext"/>
      </w:pPr>
      <w:r>
        <w:t xml:space="preserve">As can be seen, </w:t>
      </w:r>
      <w:r w:rsidR="004F3AE6">
        <w:t xml:space="preserve">at the beginning the PV is at </w:t>
      </w:r>
      <w:r w:rsidR="00985FDD">
        <w:t xml:space="preserve">steady state at </w:t>
      </w:r>
      <w:r w:rsidR="004F3AE6">
        <w:t>400 °C. Upon a set-point change</w:t>
      </w:r>
      <w:r w:rsidR="00E074D8">
        <w:t xml:space="preserve"> to 430 °C</w:t>
      </w:r>
      <w:r w:rsidR="004F3AE6">
        <w:t xml:space="preserve">, </w:t>
      </w:r>
      <w:r w:rsidR="004F2528">
        <w:t>there is an apparent dead time (</w:t>
      </w:r>
      <w:r w:rsidR="004F2528">
        <w:rPr>
          <w:rFonts w:cs="Arial"/>
        </w:rPr>
        <w:t>≈</w:t>
      </w:r>
      <w:r w:rsidR="004F2528">
        <w:t xml:space="preserve"> </w:t>
      </w:r>
      <w:r w:rsidR="00E9178C">
        <w:t>4</w:t>
      </w:r>
      <w:r w:rsidR="004F2528">
        <w:t xml:space="preserve"> minutes) during which </w:t>
      </w:r>
      <w:r w:rsidR="00E074D8">
        <w:t>the PV remains at 400 °C</w:t>
      </w:r>
      <w:r w:rsidR="004F3AE6">
        <w:t xml:space="preserve">, after which </w:t>
      </w:r>
      <w:r w:rsidR="00E074D8">
        <w:t>it</w:t>
      </w:r>
      <w:r w:rsidR="004F3AE6">
        <w:t xml:space="preserve"> </w:t>
      </w:r>
      <w:r w:rsidR="0013705A">
        <w:t xml:space="preserve">rises and </w:t>
      </w:r>
      <w:r w:rsidR="0013705A">
        <w:rPr>
          <w:rFonts w:cs="Arial"/>
        </w:rPr>
        <w:t>≈ 10</w:t>
      </w:r>
      <w:r w:rsidR="0013705A">
        <w:t xml:space="preserve"> </w:t>
      </w:r>
      <w:r w:rsidR="00E074D8">
        <w:t>minutes</w:t>
      </w:r>
      <w:r w:rsidR="0013705A">
        <w:t xml:space="preserve"> af</w:t>
      </w:r>
      <w:r w:rsidR="0013705A" w:rsidRPr="008B6F6F">
        <w:t>ter the change in OP,</w:t>
      </w:r>
      <w:r w:rsidR="00E074D8" w:rsidRPr="008B6F6F">
        <w:t xml:space="preserve"> reaches the new steady-state value for the first time. </w:t>
      </w:r>
      <w:r w:rsidR="0013705A" w:rsidRPr="008B6F6F">
        <w:t>Also, it can be seen that t</w:t>
      </w:r>
      <w:r w:rsidR="00E074D8" w:rsidRPr="008B6F6F">
        <w:t>he</w:t>
      </w:r>
      <w:r w:rsidR="00E074D8">
        <w:t xml:space="preserve"> PV </w:t>
      </w:r>
      <w:r>
        <w:t xml:space="preserve">overshoots the set-point. </w:t>
      </w:r>
      <w:r w:rsidR="0013705A">
        <w:t>This</w:t>
      </w:r>
      <w:r w:rsidR="00E074D8">
        <w:t xml:space="preserve"> sharp rise of the PV is a consequence of the proportional kick, visible in Figur</w:t>
      </w:r>
      <w:r w:rsidR="0015191F">
        <w:t>e 4</w:t>
      </w:r>
      <w:r w:rsidR="00E074D8">
        <w:t xml:space="preserve">b., where </w:t>
      </w:r>
      <w:r w:rsidR="004D51A0">
        <w:t xml:space="preserve">the OP </w:t>
      </w:r>
      <w:r w:rsidR="00E40BB3">
        <w:t xml:space="preserve">(i.e. the valve position) </w:t>
      </w:r>
      <w:r w:rsidR="004D51A0">
        <w:t xml:space="preserve">rises from 50 % to </w:t>
      </w:r>
      <w:r w:rsidR="00E074D8">
        <w:t>almost 80</w:t>
      </w:r>
      <w:r w:rsidR="004D51A0">
        <w:t xml:space="preserve"> %</w:t>
      </w:r>
      <w:r w:rsidR="004F2528">
        <w:t xml:space="preserve">, </w:t>
      </w:r>
      <w:r w:rsidR="004D51A0">
        <w:t xml:space="preserve">after which the </w:t>
      </w:r>
      <w:r w:rsidR="004F2528">
        <w:t>integral</w:t>
      </w:r>
      <w:r w:rsidR="004D51A0">
        <w:t xml:space="preserve"> contribution </w:t>
      </w:r>
      <w:r w:rsidR="0015191F">
        <w:t>(see Figure 4</w:t>
      </w:r>
      <w:r w:rsidR="004F2528">
        <w:t xml:space="preserve">c.) kicks in and decreases the rate of change of the OP. Finally, the derivative contribution acts to decrease the OP which eventually settles at approximately 60 %. </w:t>
      </w:r>
      <w:r w:rsidR="008A65C2">
        <w:t xml:space="preserve">As can be seen from the figure, in closed-loop configuration with PID parameters determined with Pitops-IAE method, the process </w:t>
      </w:r>
      <w:r w:rsidR="001A7918">
        <w:t xml:space="preserve">reaches the new steady state </w:t>
      </w:r>
      <w:r w:rsidR="0013705A">
        <w:t xml:space="preserve">(TTSS) </w:t>
      </w:r>
      <w:r w:rsidR="001A7918">
        <w:t xml:space="preserve">in </w:t>
      </w:r>
      <w:r w:rsidR="001A7918" w:rsidRPr="008B6F6F">
        <w:t>approximately 2</w:t>
      </w:r>
      <w:r w:rsidR="0013705A" w:rsidRPr="008B6F6F">
        <w:t>3</w:t>
      </w:r>
      <w:r w:rsidR="001A7918" w:rsidRPr="008B6F6F">
        <w:t xml:space="preserve"> minutes.</w:t>
      </w:r>
    </w:p>
    <w:p w14:paraId="31CE1A64" w14:textId="4AD745FE" w:rsidR="004F2528" w:rsidRDefault="004F2528" w:rsidP="00064E95">
      <w:pPr>
        <w:pStyle w:val="CETBodytext"/>
      </w:pPr>
    </w:p>
    <w:p w14:paraId="56AE364A" w14:textId="4996C7B1" w:rsidR="00E35C73" w:rsidRDefault="008A65C2" w:rsidP="00064E95">
      <w:pPr>
        <w:pStyle w:val="CETBodytext"/>
      </w:pPr>
      <w:r>
        <w:t xml:space="preserve">The second method applied was Pitops-RO (reduce overshoot). </w:t>
      </w:r>
      <w:r w:rsidR="00E35C73">
        <w:t>PID parameter determined by th</w:t>
      </w:r>
      <w:r w:rsidR="005A6871">
        <w:t xml:space="preserve">is method are given in Table 3. </w:t>
      </w:r>
    </w:p>
    <w:p w14:paraId="1BBFC933" w14:textId="424ACA98" w:rsidR="00E35C73" w:rsidRPr="002D2219" w:rsidRDefault="00E35C73" w:rsidP="00E35C73">
      <w:pPr>
        <w:pStyle w:val="CETTabletitle"/>
      </w:pPr>
      <w:r>
        <w:lastRenderedPageBreak/>
        <w:t>Table 3</w:t>
      </w:r>
      <w:r w:rsidRPr="002D2219">
        <w:t xml:space="preserve">: </w:t>
      </w:r>
      <w:r>
        <w:t>PID parameters obtained with Pitops-RO method</w:t>
      </w:r>
      <w:r w:rsidRPr="002D2219">
        <w:t xml:space="preserv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44"/>
        <w:gridCol w:w="1644"/>
        <w:gridCol w:w="1644"/>
        <w:gridCol w:w="651"/>
      </w:tblGrid>
      <w:tr w:rsidR="00E35C73" w:rsidRPr="002C275D" w14:paraId="3D24A36F" w14:textId="77777777" w:rsidTr="005D3C6B">
        <w:tc>
          <w:tcPr>
            <w:tcW w:w="1644" w:type="dxa"/>
            <w:tcBorders>
              <w:top w:val="single" w:sz="12" w:space="0" w:color="008000"/>
              <w:bottom w:val="single" w:sz="6" w:space="0" w:color="008000"/>
            </w:tcBorders>
            <w:shd w:val="clear" w:color="auto" w:fill="FFFFFF"/>
          </w:tcPr>
          <w:p w14:paraId="27967282" w14:textId="77777777" w:rsidR="00E35C73" w:rsidRPr="002C275D" w:rsidRDefault="00E35C73" w:rsidP="005D3C6B">
            <w:pPr>
              <w:pStyle w:val="CETBodytext"/>
            </w:pPr>
            <w:r>
              <w:t>Controller gain</w:t>
            </w:r>
          </w:p>
        </w:tc>
        <w:tc>
          <w:tcPr>
            <w:tcW w:w="1644" w:type="dxa"/>
            <w:tcBorders>
              <w:top w:val="single" w:sz="12" w:space="0" w:color="008000"/>
              <w:bottom w:val="single" w:sz="6" w:space="0" w:color="008000"/>
            </w:tcBorders>
            <w:shd w:val="clear" w:color="auto" w:fill="FFFFFF"/>
          </w:tcPr>
          <w:p w14:paraId="51B3BBEB" w14:textId="77777777" w:rsidR="00E35C73" w:rsidRDefault="00E35C73" w:rsidP="005D3C6B">
            <w:pPr>
              <w:pStyle w:val="CETBodytext"/>
            </w:pPr>
            <w:r>
              <w:t xml:space="preserve">Integral time, </w:t>
            </w:r>
          </w:p>
          <w:p w14:paraId="773D0647" w14:textId="77777777" w:rsidR="00E35C73" w:rsidRPr="002C275D" w:rsidRDefault="00E35C73" w:rsidP="005D3C6B">
            <w:pPr>
              <w:pStyle w:val="CETBodytext"/>
            </w:pPr>
            <w:r>
              <w:t>min</w:t>
            </w:r>
          </w:p>
        </w:tc>
        <w:tc>
          <w:tcPr>
            <w:tcW w:w="1644" w:type="dxa"/>
            <w:tcBorders>
              <w:top w:val="single" w:sz="12" w:space="0" w:color="008000"/>
              <w:bottom w:val="single" w:sz="6" w:space="0" w:color="008000"/>
            </w:tcBorders>
            <w:shd w:val="clear" w:color="auto" w:fill="FFFFFF"/>
          </w:tcPr>
          <w:p w14:paraId="7B26BECF" w14:textId="77777777" w:rsidR="00E35C73" w:rsidRDefault="00E35C73" w:rsidP="005D3C6B">
            <w:pPr>
              <w:pStyle w:val="CETBodytext"/>
            </w:pPr>
            <w:r>
              <w:t xml:space="preserve">Derivative time, </w:t>
            </w:r>
          </w:p>
          <w:p w14:paraId="1873167E" w14:textId="77777777" w:rsidR="00E35C73" w:rsidRPr="002C275D" w:rsidRDefault="00E35C73" w:rsidP="005D3C6B">
            <w:pPr>
              <w:pStyle w:val="CETBodytext"/>
            </w:pPr>
            <w:r>
              <w:t>min</w:t>
            </w:r>
          </w:p>
        </w:tc>
        <w:tc>
          <w:tcPr>
            <w:tcW w:w="651" w:type="dxa"/>
            <w:tcBorders>
              <w:top w:val="single" w:sz="12" w:space="0" w:color="008000"/>
              <w:bottom w:val="single" w:sz="6" w:space="0" w:color="008000"/>
            </w:tcBorders>
            <w:shd w:val="clear" w:color="auto" w:fill="FFFFFF"/>
          </w:tcPr>
          <w:p w14:paraId="1232AD07" w14:textId="77777777" w:rsidR="00E35C73" w:rsidRPr="002C275D" w:rsidRDefault="00E35C73" w:rsidP="005D3C6B">
            <w:pPr>
              <w:pStyle w:val="CETBodytext"/>
            </w:pPr>
            <w:r>
              <w:t>Error</w:t>
            </w:r>
          </w:p>
        </w:tc>
      </w:tr>
      <w:tr w:rsidR="00E35C73" w:rsidRPr="002C275D" w14:paraId="6E89AA17" w14:textId="77777777" w:rsidTr="005D3C6B">
        <w:tc>
          <w:tcPr>
            <w:tcW w:w="1644" w:type="dxa"/>
            <w:shd w:val="clear" w:color="auto" w:fill="FFFFFF"/>
          </w:tcPr>
          <w:p w14:paraId="419EB483" w14:textId="5F534393" w:rsidR="00E35C73" w:rsidRPr="002C275D" w:rsidRDefault="00CC281C" w:rsidP="005D3C6B">
            <w:pPr>
              <w:pStyle w:val="CETBodytext"/>
            </w:pPr>
            <w:r>
              <w:t>1,56346</w:t>
            </w:r>
          </w:p>
        </w:tc>
        <w:tc>
          <w:tcPr>
            <w:tcW w:w="1644" w:type="dxa"/>
            <w:shd w:val="clear" w:color="auto" w:fill="FFFFFF"/>
          </w:tcPr>
          <w:p w14:paraId="007FE19B" w14:textId="6A6E2317" w:rsidR="00E35C73" w:rsidRPr="002C275D" w:rsidRDefault="00CC281C" w:rsidP="005A6871">
            <w:pPr>
              <w:pStyle w:val="CETBodytext"/>
            </w:pPr>
            <w:r>
              <w:t>11,29112</w:t>
            </w:r>
          </w:p>
        </w:tc>
        <w:tc>
          <w:tcPr>
            <w:tcW w:w="1644" w:type="dxa"/>
            <w:shd w:val="clear" w:color="auto" w:fill="FFFFFF"/>
          </w:tcPr>
          <w:p w14:paraId="44FEACE2" w14:textId="0FD14D23" w:rsidR="00E35C73" w:rsidRPr="002C275D" w:rsidRDefault="00E35C73" w:rsidP="00CC281C">
            <w:pPr>
              <w:pStyle w:val="CETBodytext"/>
            </w:pPr>
            <w:r>
              <w:t>0</w:t>
            </w:r>
            <w:r w:rsidR="005A6871">
              <w:t>,</w:t>
            </w:r>
            <w:r w:rsidR="00CC281C">
              <w:t>28352</w:t>
            </w:r>
          </w:p>
        </w:tc>
        <w:tc>
          <w:tcPr>
            <w:tcW w:w="651" w:type="dxa"/>
            <w:shd w:val="clear" w:color="auto" w:fill="FFFFFF"/>
          </w:tcPr>
          <w:p w14:paraId="793B2F11" w14:textId="0F0D298A" w:rsidR="00E35C73" w:rsidRPr="002C275D" w:rsidRDefault="00CC281C" w:rsidP="005A6871">
            <w:pPr>
              <w:pStyle w:val="CETBodytext"/>
            </w:pPr>
            <w:r>
              <w:t>80,614</w:t>
            </w:r>
          </w:p>
        </w:tc>
      </w:tr>
    </w:tbl>
    <w:p w14:paraId="07C4F0DF" w14:textId="77777777" w:rsidR="005A6871" w:rsidRDefault="005A6871" w:rsidP="00064E95">
      <w:pPr>
        <w:pStyle w:val="CETBodytext"/>
      </w:pPr>
    </w:p>
    <w:p w14:paraId="3FA50F0B" w14:textId="4564CD2B" w:rsidR="004F2528" w:rsidRDefault="005A6871" w:rsidP="00064E95">
      <w:pPr>
        <w:pStyle w:val="CETBodytext"/>
      </w:pPr>
      <w:r>
        <w:t xml:space="preserve">Since the main idea of the method is to prevent the PV from overshooting the set-point, the controller gain is twice as low than the one determined with the Pitops-IAE method. Also, both integral time and derivative time are lower while the error is increased. </w:t>
      </w:r>
      <w:r w:rsidR="00227A65">
        <w:t>P</w:t>
      </w:r>
      <w:r w:rsidR="00BE2F02">
        <w:t xml:space="preserve">rocess response to a set-point </w:t>
      </w:r>
      <w:r w:rsidR="002E011D">
        <w:t>change from 400 °C to 430 °C in closed-loop configuration</w:t>
      </w:r>
      <w:r>
        <w:t xml:space="preserve"> with PID parameters listed in Table 3</w:t>
      </w:r>
      <w:r w:rsidR="00C66201">
        <w:t>.</w:t>
      </w:r>
      <w:r w:rsidR="0015191F">
        <w:t xml:space="preserve"> is shown in Figure 5</w:t>
      </w:r>
      <w:r w:rsidR="002E011D">
        <w:t xml:space="preserve">a. </w:t>
      </w:r>
    </w:p>
    <w:p w14:paraId="6B0F0D30" w14:textId="2EBAE648" w:rsidR="00515892" w:rsidRDefault="00515892" w:rsidP="00064E95">
      <w:pPr>
        <w:pStyle w:val="CETBodytext"/>
      </w:pPr>
    </w:p>
    <w:p w14:paraId="53212961" w14:textId="540CDDB8" w:rsidR="00BE2F02" w:rsidRDefault="00BE2F02" w:rsidP="00BE2F02">
      <w:pPr>
        <w:pStyle w:val="CETBodytext"/>
        <w:jc w:val="center"/>
      </w:pPr>
      <w:r>
        <w:rPr>
          <w:noProof/>
          <w:lang w:val="hr-HR" w:eastAsia="hr-HR"/>
        </w:rPr>
        <w:drawing>
          <wp:inline distT="0" distB="0" distL="0" distR="0" wp14:anchorId="0CA2C2B9" wp14:editId="47D0B05B">
            <wp:extent cx="3289250" cy="3960000"/>
            <wp:effectExtent l="0" t="0" r="698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topsro.png"/>
                    <pic:cNvPicPr/>
                  </pic:nvPicPr>
                  <pic:blipFill>
                    <a:blip r:embed="rId15">
                      <a:extLst>
                        <a:ext uri="{28A0092B-C50C-407E-A947-70E740481C1C}">
                          <a14:useLocalDpi xmlns:a14="http://schemas.microsoft.com/office/drawing/2010/main" val="0"/>
                        </a:ext>
                      </a:extLst>
                    </a:blip>
                    <a:stretch>
                      <a:fillRect/>
                    </a:stretch>
                  </pic:blipFill>
                  <pic:spPr>
                    <a:xfrm>
                      <a:off x="0" y="0"/>
                      <a:ext cx="3289250" cy="3960000"/>
                    </a:xfrm>
                    <a:prstGeom prst="rect">
                      <a:avLst/>
                    </a:prstGeom>
                  </pic:spPr>
                </pic:pic>
              </a:graphicData>
            </a:graphic>
          </wp:inline>
        </w:drawing>
      </w:r>
    </w:p>
    <w:p w14:paraId="063D6D19" w14:textId="58A3BE0D" w:rsidR="00BE2F02" w:rsidRDefault="00BE2F02" w:rsidP="00BE2F02">
      <w:pPr>
        <w:pStyle w:val="CETCaption"/>
        <w:jc w:val="center"/>
      </w:pPr>
      <w:r w:rsidRPr="002D2219">
        <w:t xml:space="preserve">Figure </w:t>
      </w:r>
      <w:r w:rsidR="0015191F">
        <w:t>5</w:t>
      </w:r>
      <w:r w:rsidRPr="002D2219">
        <w:t xml:space="preserve">: </w:t>
      </w:r>
      <w:r>
        <w:t>Results obtained with Pitops-RO method: response to a set-point change (a.) OP vs time (b.) proportional, integral and derivative contributions.</w:t>
      </w:r>
    </w:p>
    <w:p w14:paraId="7BD928C3" w14:textId="1FD72330" w:rsidR="00663EC3" w:rsidRDefault="00E9178C" w:rsidP="00064E95">
      <w:pPr>
        <w:pStyle w:val="CETBodytext"/>
      </w:pPr>
      <w:r>
        <w:t>As is the previous case, here</w:t>
      </w:r>
      <w:r w:rsidR="00E421DE">
        <w:t>,</w:t>
      </w:r>
      <w:r>
        <w:t xml:space="preserve"> the set-point is changed from 400 °C to 430 °C. There is an apparent dead-time of 4 minutes after which the PV rises</w:t>
      </w:r>
      <w:r w:rsidR="00EC7624">
        <w:t xml:space="preserve"> and </w:t>
      </w:r>
      <w:r w:rsidR="00E421DE">
        <w:t>reaches the</w:t>
      </w:r>
      <w:r>
        <w:t xml:space="preserve"> set-point value</w:t>
      </w:r>
      <w:r w:rsidR="00E421DE">
        <w:t xml:space="preserve"> within </w:t>
      </w:r>
      <w:r w:rsidR="00EC7624">
        <w:t>37</w:t>
      </w:r>
      <w:r w:rsidR="00E421DE">
        <w:t xml:space="preserve"> minutes</w:t>
      </w:r>
      <w:r>
        <w:t xml:space="preserve">. At the same time, </w:t>
      </w:r>
      <w:r w:rsidR="00E421DE">
        <w:t xml:space="preserve">at the beginning, </w:t>
      </w:r>
      <w:r>
        <w:t xml:space="preserve">the valve position </w:t>
      </w:r>
      <w:r w:rsidR="00E421DE">
        <w:t>i</w:t>
      </w:r>
      <w:r w:rsidR="00EC7624">
        <w:t>ncreases sharply from 50 % to 61</w:t>
      </w:r>
      <w:r w:rsidR="0015191F">
        <w:t xml:space="preserve"> % (Figure 5</w:t>
      </w:r>
      <w:r w:rsidR="00E421DE">
        <w:t>b.) as a consequence of the pro</w:t>
      </w:r>
      <w:r w:rsidR="0015191F">
        <w:t>portional contribution (Figure 5</w:t>
      </w:r>
      <w:r w:rsidR="00E421DE">
        <w:t>c.). Integral contribution reduces the rate of chang</w:t>
      </w:r>
      <w:r w:rsidR="00EC7624">
        <w:t xml:space="preserve">e of the OP, which rises </w:t>
      </w:r>
      <w:r w:rsidR="00EC7624" w:rsidRPr="008B6F6F">
        <w:t xml:space="preserve">additionally to 64 %, </w:t>
      </w:r>
      <w:r w:rsidR="00D66A42" w:rsidRPr="008B6F6F">
        <w:t>while the</w:t>
      </w:r>
      <w:r w:rsidR="00E421DE" w:rsidRPr="008B6F6F">
        <w:t xml:space="preserve"> derivative contribution finally acts to drop the OP to the final value of </w:t>
      </w:r>
      <w:r w:rsidR="00E35C73" w:rsidRPr="008B6F6F">
        <w:t xml:space="preserve">approximately 61 %. </w:t>
      </w:r>
      <w:r w:rsidR="00FE3670">
        <w:t>Vector files were generated in the s</w:t>
      </w:r>
      <w:r w:rsidR="00C7422A">
        <w:t xml:space="preserve">oftware in order to compare normalized </w:t>
      </w:r>
      <w:r w:rsidR="00FE3670">
        <w:t>process responses</w:t>
      </w:r>
      <w:r w:rsidR="00581248">
        <w:t xml:space="preserve"> to a set-point change</w:t>
      </w:r>
      <w:r w:rsidR="00FE3670">
        <w:t xml:space="preserve"> obtained by the two methods. These are</w:t>
      </w:r>
      <w:r w:rsidR="0015191F">
        <w:t xml:space="preserve"> shown in Figure 6</w:t>
      </w:r>
      <w:r w:rsidR="00C7422A">
        <w:t xml:space="preserve">. As can be seen, with PID parameters determined by Pitops-IAE, the process response settles </w:t>
      </w:r>
      <w:r w:rsidR="00C7422A" w:rsidRPr="008B6F6F">
        <w:t xml:space="preserve">within </w:t>
      </w:r>
      <w:r w:rsidR="00C7422A" w:rsidRPr="008B6F6F">
        <w:rPr>
          <w:rFonts w:cs="Arial"/>
        </w:rPr>
        <w:t>±</w:t>
      </w:r>
      <w:r w:rsidR="00C7422A" w:rsidRPr="008B6F6F">
        <w:t xml:space="preserve"> 1 % in </w:t>
      </w:r>
      <w:r w:rsidR="008B6F6F">
        <w:rPr>
          <w:rFonts w:cs="Arial"/>
        </w:rPr>
        <w:t>≈</w:t>
      </w:r>
      <w:r w:rsidR="008B6F6F">
        <w:t xml:space="preserve"> </w:t>
      </w:r>
      <w:r w:rsidR="008D4415" w:rsidRPr="008B6F6F">
        <w:t>22</w:t>
      </w:r>
      <w:r w:rsidR="001A7918" w:rsidRPr="008B6F6F">
        <w:t xml:space="preserve"> minutes </w:t>
      </w:r>
      <w:r w:rsidR="001A7918">
        <w:t xml:space="preserve">from the set-point change. On the other hand, settling time with parameters determined by Pitops-RO </w:t>
      </w:r>
      <w:r w:rsidR="00EC7624">
        <w:t>is somewhat longer and</w:t>
      </w:r>
      <w:r w:rsidR="001A7918">
        <w:t xml:space="preserve"> equals </w:t>
      </w:r>
      <w:r w:rsidR="00EC7624">
        <w:t>approximately 35 minutes</w:t>
      </w:r>
      <w:r w:rsidR="001A7918">
        <w:t>.</w:t>
      </w:r>
      <w:r w:rsidR="00EC7624">
        <w:t xml:space="preserve"> Also, as can be seen</w:t>
      </w:r>
      <w:r w:rsidR="003E2D69">
        <w:t xml:space="preserve"> in the figure</w:t>
      </w:r>
      <w:r w:rsidR="00EC7624">
        <w:t xml:space="preserve">, </w:t>
      </w:r>
      <w:r w:rsidR="008D4415">
        <w:t xml:space="preserve">there is </w:t>
      </w:r>
      <w:r w:rsidR="00EC7624">
        <w:t xml:space="preserve">a </w:t>
      </w:r>
      <w:r w:rsidR="003E2D69">
        <w:t>minimal overshoot (less than 1 %) in case when PID parameters calculated with Pitops-RO method</w:t>
      </w:r>
      <w:r w:rsidR="008D4415">
        <w:t xml:space="preserve"> are applied</w:t>
      </w:r>
      <w:r w:rsidR="003E2D69">
        <w:t xml:space="preserve">. </w:t>
      </w:r>
    </w:p>
    <w:p w14:paraId="0E055C02" w14:textId="145E2D28" w:rsidR="001A7918" w:rsidRDefault="001A7918" w:rsidP="00064E95">
      <w:pPr>
        <w:pStyle w:val="CETBodytext"/>
      </w:pPr>
    </w:p>
    <w:p w14:paraId="71A77BD5" w14:textId="43D71676" w:rsidR="00C448B7" w:rsidRDefault="00EC7624" w:rsidP="00C448B7">
      <w:pPr>
        <w:pStyle w:val="CETBodytext"/>
        <w:jc w:val="center"/>
      </w:pPr>
      <w:r>
        <w:rPr>
          <w:noProof/>
          <w:lang w:val="hr-HR" w:eastAsia="hr-HR"/>
        </w:rPr>
        <w:lastRenderedPageBreak/>
        <w:drawing>
          <wp:inline distT="0" distB="0" distL="0" distR="0" wp14:anchorId="39C8485A" wp14:editId="465E005F">
            <wp:extent cx="4202580" cy="24088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b="4400"/>
                    <a:stretch/>
                  </pic:blipFill>
                  <pic:spPr bwMode="auto">
                    <a:xfrm>
                      <a:off x="0" y="0"/>
                      <a:ext cx="4203114" cy="2409136"/>
                    </a:xfrm>
                    <a:prstGeom prst="rect">
                      <a:avLst/>
                    </a:prstGeom>
                    <a:noFill/>
                    <a:ln>
                      <a:noFill/>
                    </a:ln>
                    <a:extLst>
                      <a:ext uri="{53640926-AAD7-44D8-BBD7-CCE9431645EC}">
                        <a14:shadowObscured xmlns:a14="http://schemas.microsoft.com/office/drawing/2010/main"/>
                      </a:ext>
                    </a:extLst>
                  </pic:spPr>
                </pic:pic>
              </a:graphicData>
            </a:graphic>
          </wp:inline>
        </w:drawing>
      </w:r>
    </w:p>
    <w:p w14:paraId="520C9B50" w14:textId="3C0E3DC7" w:rsidR="00C448B7" w:rsidRDefault="00C66201" w:rsidP="00C448B7">
      <w:pPr>
        <w:pStyle w:val="CETCaption"/>
        <w:jc w:val="center"/>
      </w:pPr>
      <w:r>
        <w:t xml:space="preserve"> </w:t>
      </w:r>
      <w:r w:rsidR="00C448B7" w:rsidRPr="002D2219">
        <w:t xml:space="preserve">Figure </w:t>
      </w:r>
      <w:r w:rsidR="0015191F">
        <w:t>6</w:t>
      </w:r>
      <w:r w:rsidR="00C448B7" w:rsidRPr="002D2219">
        <w:t xml:space="preserve">: </w:t>
      </w:r>
      <w:r w:rsidR="00C448B7">
        <w:t xml:space="preserve">Comparison of </w:t>
      </w:r>
      <w:r w:rsidR="00C7422A">
        <w:t xml:space="preserve">normalized </w:t>
      </w:r>
      <w:r w:rsidR="00C448B7">
        <w:t>process responses</w:t>
      </w:r>
      <w:r w:rsidR="001A7918">
        <w:t xml:space="preserve"> (partially shown from 95 – 105 %).</w:t>
      </w:r>
    </w:p>
    <w:p w14:paraId="221C60FF" w14:textId="3D44DB12" w:rsidR="008D4415" w:rsidRDefault="008D4415" w:rsidP="005309E0">
      <w:pPr>
        <w:pStyle w:val="CETBodytext"/>
        <w:rPr>
          <w:lang w:val="en-GB"/>
        </w:rPr>
      </w:pPr>
    </w:p>
    <w:p w14:paraId="14662EC9" w14:textId="09CC8A0F" w:rsidR="00B67FF2" w:rsidRDefault="00B67FF2" w:rsidP="008B6F6F">
      <w:pPr>
        <w:pStyle w:val="CETBodytext"/>
        <w:jc w:val="center"/>
        <w:rPr>
          <w:lang w:val="en-GB"/>
        </w:rPr>
      </w:pPr>
      <w:r>
        <w:rPr>
          <w:noProof/>
          <w:lang w:val="hr-HR" w:eastAsia="hr-HR"/>
        </w:rPr>
        <w:drawing>
          <wp:inline distT="0" distB="0" distL="0" distR="0" wp14:anchorId="4FACC1D1" wp14:editId="4C50A8DD">
            <wp:extent cx="5642066" cy="32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 iae.png"/>
                    <pic:cNvPicPr/>
                  </pic:nvPicPr>
                  <pic:blipFill rotWithShape="1">
                    <a:blip r:embed="rId17">
                      <a:extLst>
                        <a:ext uri="{28A0092B-C50C-407E-A947-70E740481C1C}">
                          <a14:useLocalDpi xmlns:a14="http://schemas.microsoft.com/office/drawing/2010/main" val="0"/>
                        </a:ext>
                      </a:extLst>
                    </a:blip>
                    <a:srcRect t="1051" b="797"/>
                    <a:stretch/>
                  </pic:blipFill>
                  <pic:spPr bwMode="auto">
                    <a:xfrm>
                      <a:off x="0" y="0"/>
                      <a:ext cx="5642066" cy="3240000"/>
                    </a:xfrm>
                    <a:prstGeom prst="rect">
                      <a:avLst/>
                    </a:prstGeom>
                    <a:ln>
                      <a:noFill/>
                    </a:ln>
                    <a:extLst>
                      <a:ext uri="{53640926-AAD7-44D8-BBD7-CCE9431645EC}">
                        <a14:shadowObscured xmlns:a14="http://schemas.microsoft.com/office/drawing/2010/main"/>
                      </a:ext>
                    </a:extLst>
                  </pic:spPr>
                </pic:pic>
              </a:graphicData>
            </a:graphic>
          </wp:inline>
        </w:drawing>
      </w:r>
    </w:p>
    <w:p w14:paraId="763440BF" w14:textId="1BBDD853" w:rsidR="00402560" w:rsidRDefault="00B67FF2" w:rsidP="00991C2C">
      <w:pPr>
        <w:pStyle w:val="CETCaption"/>
        <w:jc w:val="center"/>
      </w:pPr>
      <w:r w:rsidRPr="002D2219">
        <w:t xml:space="preserve">Figure </w:t>
      </w:r>
      <w:r w:rsidR="0015191F">
        <w:t>7</w:t>
      </w:r>
      <w:r w:rsidRPr="002D2219">
        <w:t xml:space="preserve">: </w:t>
      </w:r>
      <w:r w:rsidR="00991C2C">
        <w:t xml:space="preserve">Robustness analysis of PID tuning parameters determined by Pitops-IAE method (response to change of transfer function parameters </w:t>
      </w:r>
      <w:r w:rsidR="00A53CB6">
        <w:t>by</w:t>
      </w:r>
      <w:r w:rsidR="00991C2C">
        <w:t xml:space="preserve"> </w:t>
      </w:r>
      <w:r w:rsidR="00991C2C">
        <w:rPr>
          <w:rFonts w:cs="Arial"/>
        </w:rPr>
        <w:t>± 20 %).</w:t>
      </w:r>
    </w:p>
    <w:p w14:paraId="6F5C0C60" w14:textId="77777777" w:rsidR="00985FDD" w:rsidRDefault="00985FDD" w:rsidP="00985FDD">
      <w:pPr>
        <w:pStyle w:val="CETBodytext"/>
        <w:rPr>
          <w:lang w:val="en-GB"/>
        </w:rPr>
      </w:pPr>
    </w:p>
    <w:p w14:paraId="3953A3A7" w14:textId="703525FB" w:rsidR="00985FDD" w:rsidRDefault="00985FDD" w:rsidP="00985FDD">
      <w:pPr>
        <w:pStyle w:val="CETBodytext"/>
        <w:rPr>
          <w:lang w:val="en-GB"/>
        </w:rPr>
      </w:pPr>
      <w:r>
        <w:rPr>
          <w:lang w:val="en-GB"/>
        </w:rPr>
        <w:t xml:space="preserve">Finally, a robustness analysis was conducted in Pitops in order to test the robustness of the determined PID parameters, that is, to test the PID response to a change in transfer function parameters. Here, transfer function parameters determined previously (see Table 1.) were decreased and increased by 20 % and PID response was observed. The results of an analysis conducted for PID parameters determined by Pitops-IAE method is shown in Figure </w:t>
      </w:r>
      <w:r w:rsidR="0015191F">
        <w:rPr>
          <w:lang w:val="en-GB"/>
        </w:rPr>
        <w:t>7</w:t>
      </w:r>
      <w:r>
        <w:rPr>
          <w:lang w:val="en-GB"/>
        </w:rPr>
        <w:t>.</w:t>
      </w:r>
    </w:p>
    <w:p w14:paraId="77EAD376" w14:textId="77777777" w:rsidR="00985FDD" w:rsidRDefault="00985FDD" w:rsidP="00B67FF2">
      <w:pPr>
        <w:pStyle w:val="CETBodytext"/>
        <w:rPr>
          <w:lang w:val="en-GB"/>
        </w:rPr>
      </w:pPr>
    </w:p>
    <w:p w14:paraId="7C65922F" w14:textId="400E87AA" w:rsidR="00EE3FCF" w:rsidRDefault="00442C74" w:rsidP="00B67FF2">
      <w:pPr>
        <w:pStyle w:val="CETBodytext"/>
        <w:rPr>
          <w:lang w:val="en-GB"/>
        </w:rPr>
      </w:pPr>
      <w:r>
        <w:rPr>
          <w:lang w:val="en-GB"/>
        </w:rPr>
        <w:t>As can be s</w:t>
      </w:r>
      <w:r w:rsidR="00CD0BFB">
        <w:rPr>
          <w:lang w:val="en-GB"/>
        </w:rPr>
        <w:t xml:space="preserve">een from the figure, </w:t>
      </w:r>
      <w:r w:rsidR="00EE3FCF">
        <w:rPr>
          <w:lang w:val="en-GB"/>
        </w:rPr>
        <w:t xml:space="preserve">a decrease of TF parameters by 20 % results in a sluggish process response and an increase of the time to new steady-state to </w:t>
      </w:r>
      <w:r w:rsidR="00EE3FCF">
        <w:rPr>
          <w:rFonts w:cs="Arial"/>
          <w:lang w:val="en-GB"/>
        </w:rPr>
        <w:t>≈</w:t>
      </w:r>
      <w:r w:rsidR="00EE3FCF">
        <w:rPr>
          <w:lang w:val="en-GB"/>
        </w:rPr>
        <w:t xml:space="preserve"> 55 minutes. On the other hand, an increase of TF parameters by 20 % resulted with an overshoot of almost 5 °C and an increase of TTSS to </w:t>
      </w:r>
      <w:r w:rsidR="00EE3FCF">
        <w:rPr>
          <w:rFonts w:cs="Arial"/>
          <w:lang w:val="en-GB"/>
        </w:rPr>
        <w:t>≈</w:t>
      </w:r>
      <w:r w:rsidR="00EE3FCF">
        <w:rPr>
          <w:lang w:val="en-GB"/>
        </w:rPr>
        <w:t xml:space="preserve"> 33 minutes.</w:t>
      </w:r>
      <w:r w:rsidR="00922A56">
        <w:rPr>
          <w:lang w:val="en-GB"/>
        </w:rPr>
        <w:t xml:space="preserve"> </w:t>
      </w:r>
    </w:p>
    <w:p w14:paraId="73B8C129" w14:textId="11D73224" w:rsidR="00EE3FCF" w:rsidRDefault="00EE3FCF" w:rsidP="00B67FF2">
      <w:pPr>
        <w:pStyle w:val="CETBodytext"/>
        <w:rPr>
          <w:lang w:val="en-GB"/>
        </w:rPr>
      </w:pPr>
    </w:p>
    <w:p w14:paraId="1595268C" w14:textId="225F19CF" w:rsidR="008D4415" w:rsidRDefault="00B67FF2" w:rsidP="005309E0">
      <w:pPr>
        <w:pStyle w:val="CETBodytext"/>
        <w:rPr>
          <w:lang w:val="en-GB"/>
        </w:rPr>
      </w:pPr>
      <w:r>
        <w:rPr>
          <w:noProof/>
          <w:lang w:val="hr-HR" w:eastAsia="hr-HR"/>
        </w:rPr>
        <w:lastRenderedPageBreak/>
        <w:drawing>
          <wp:inline distT="0" distB="0" distL="0" distR="0" wp14:anchorId="6ED6DCEF" wp14:editId="445C6530">
            <wp:extent cx="5579745" cy="3273749"/>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 ro.png"/>
                    <pic:cNvPicPr/>
                  </pic:nvPicPr>
                  <pic:blipFill>
                    <a:blip r:embed="rId18">
                      <a:extLst>
                        <a:ext uri="{28A0092B-C50C-407E-A947-70E740481C1C}">
                          <a14:useLocalDpi xmlns:a14="http://schemas.microsoft.com/office/drawing/2010/main" val="0"/>
                        </a:ext>
                      </a:extLst>
                    </a:blip>
                    <a:stretch>
                      <a:fillRect/>
                    </a:stretch>
                  </pic:blipFill>
                  <pic:spPr>
                    <a:xfrm>
                      <a:off x="0" y="0"/>
                      <a:ext cx="5579745" cy="3273749"/>
                    </a:xfrm>
                    <a:prstGeom prst="rect">
                      <a:avLst/>
                    </a:prstGeom>
                  </pic:spPr>
                </pic:pic>
              </a:graphicData>
            </a:graphic>
          </wp:inline>
        </w:drawing>
      </w:r>
    </w:p>
    <w:p w14:paraId="5568FE9D" w14:textId="49E5361A" w:rsidR="00991C2C" w:rsidRDefault="00991C2C" w:rsidP="00991C2C">
      <w:pPr>
        <w:pStyle w:val="CETCaption"/>
        <w:jc w:val="center"/>
      </w:pPr>
      <w:r w:rsidRPr="002D2219">
        <w:t xml:space="preserve">Figure </w:t>
      </w:r>
      <w:r w:rsidR="0015191F">
        <w:t>8</w:t>
      </w:r>
      <w:r w:rsidRPr="002D2219">
        <w:t xml:space="preserve">: </w:t>
      </w:r>
      <w:r>
        <w:t>Robustness analysis of PID tuning parameters determined by Pitops-</w:t>
      </w:r>
      <w:r w:rsidR="00EE3FCF">
        <w:t>RO</w:t>
      </w:r>
      <w:r>
        <w:t xml:space="preserve"> method (response to a change of transfer function parameters of </w:t>
      </w:r>
      <w:r>
        <w:rPr>
          <w:rFonts w:cs="Arial"/>
        </w:rPr>
        <w:t>± 20 %).</w:t>
      </w:r>
    </w:p>
    <w:p w14:paraId="34BFC4B9" w14:textId="00EED932" w:rsidR="00ED40C8" w:rsidRPr="00E6790F" w:rsidRDefault="002C08F7" w:rsidP="00ED40C8">
      <w:pPr>
        <w:pStyle w:val="CETBodytext"/>
      </w:pPr>
      <w:r>
        <w:rPr>
          <w:lang w:val="en-GB"/>
        </w:rPr>
        <w:t>Similar was observed in the case with PID parameters determined by the RO method</w:t>
      </w:r>
      <w:r w:rsidR="0015191F">
        <w:rPr>
          <w:lang w:val="en-GB"/>
        </w:rPr>
        <w:t xml:space="preserve"> (Figure 8.)</w:t>
      </w:r>
      <w:r>
        <w:rPr>
          <w:lang w:val="en-GB"/>
        </w:rPr>
        <w:t xml:space="preserve">. When all TF parameters are decreased by 20 %, the response gets more sluggish (TTSS </w:t>
      </w:r>
      <w:r>
        <w:rPr>
          <w:rFonts w:cs="Arial"/>
          <w:lang w:val="en-GB"/>
        </w:rPr>
        <w:t>≈</w:t>
      </w:r>
      <w:r>
        <w:rPr>
          <w:lang w:val="en-GB"/>
        </w:rPr>
        <w:t xml:space="preserve"> 80 minutes), and when TF are increases, the response exhibits an overshoot and TTSS </w:t>
      </w:r>
      <w:r>
        <w:rPr>
          <w:rFonts w:cs="Arial"/>
          <w:lang w:val="en-GB"/>
        </w:rPr>
        <w:t xml:space="preserve">≈ 72 minutes. </w:t>
      </w:r>
      <w:r w:rsidR="003A4DC7">
        <w:rPr>
          <w:rFonts w:cs="Arial"/>
          <w:lang w:val="en-GB"/>
        </w:rPr>
        <w:t xml:space="preserve">The robustness analysis gives a clear indication if the same PID parameters can be applied </w:t>
      </w:r>
      <w:r w:rsidR="00985FDD">
        <w:rPr>
          <w:rFonts w:cs="Arial"/>
          <w:lang w:val="en-GB"/>
        </w:rPr>
        <w:t xml:space="preserve">when </w:t>
      </w:r>
      <w:r w:rsidR="003A4DC7">
        <w:rPr>
          <w:rFonts w:cs="Arial"/>
          <w:lang w:val="en-GB"/>
        </w:rPr>
        <w:t xml:space="preserve">TF parameters change. </w:t>
      </w:r>
      <w:r w:rsidR="00C12016">
        <w:t xml:space="preserve">Generally, the control objective would be to </w:t>
      </w:r>
      <w:r w:rsidR="00F835F8">
        <w:t>accomplish</w:t>
      </w:r>
      <w:r w:rsidR="00C12016">
        <w:t xml:space="preserve"> a stable response to</w:t>
      </w:r>
      <w:r w:rsidR="003A4DC7">
        <w:t xml:space="preserve"> a</w:t>
      </w:r>
      <w:r w:rsidR="00C12016">
        <w:t xml:space="preserve"> set-point change. But, if an exothermic reaction is taking place in a reactor, </w:t>
      </w:r>
      <w:r w:rsidR="00C12016" w:rsidRPr="00E6790F">
        <w:t xml:space="preserve">the objective should be to </w:t>
      </w:r>
      <w:r w:rsidR="00F835F8" w:rsidRPr="00E6790F">
        <w:t>attain</w:t>
      </w:r>
      <w:r w:rsidR="00C12016" w:rsidRPr="00E6790F">
        <w:t xml:space="preserve"> a stable response without overshoot, considering the fact that the rate of reaction exponentially increases with temperature</w:t>
      </w:r>
      <w:r w:rsidR="00A72623">
        <w:t xml:space="preserve"> (</w:t>
      </w:r>
      <w:r w:rsidR="004C519E">
        <w:t>Liptak, 2006)</w:t>
      </w:r>
      <w:r w:rsidR="00C12016" w:rsidRPr="00E6790F">
        <w:t xml:space="preserve">. Tuning the controller to prevent overshoot could also be beneficial for processes in which the reaction </w:t>
      </w:r>
      <w:r w:rsidR="00ED40C8" w:rsidRPr="00E6790F">
        <w:t>mixture is sensitive to temperature change, such as in bioreactors,</w:t>
      </w:r>
      <w:r w:rsidR="003A4DC7" w:rsidRPr="00E6790F">
        <w:t xml:space="preserve"> in reactors with</w:t>
      </w:r>
      <w:r w:rsidR="00ED40C8" w:rsidRPr="00E6790F">
        <w:t xml:space="preserve"> polymers, etc. In </w:t>
      </w:r>
      <w:r w:rsidR="003A4DC7" w:rsidRPr="00E6790F">
        <w:t>those</w:t>
      </w:r>
      <w:r w:rsidR="00ED40C8" w:rsidRPr="00E6790F">
        <w:t xml:space="preserve"> cases, overshooting the set-point may result in product deterioration, generation of a byproduct etc. </w:t>
      </w:r>
      <w:r w:rsidR="00F835F8" w:rsidRPr="00E6790F">
        <w:t xml:space="preserve">and PID parameters should be determined in such a way to achieve the control goal.  The use of this software greatly simplifies the procedure. </w:t>
      </w:r>
      <w:bookmarkStart w:id="1" w:name="_GoBack"/>
      <w:bookmarkEnd w:id="1"/>
    </w:p>
    <w:p w14:paraId="2F318A90" w14:textId="64062361" w:rsidR="00C12016" w:rsidRDefault="00C12016" w:rsidP="00C12016">
      <w:pPr>
        <w:pStyle w:val="CETBodytext"/>
      </w:pPr>
    </w:p>
    <w:p w14:paraId="68D26B83" w14:textId="77777777" w:rsidR="00600535" w:rsidRPr="002D2219" w:rsidRDefault="00600535" w:rsidP="00600535">
      <w:pPr>
        <w:pStyle w:val="CETHeading1"/>
        <w:rPr>
          <w:lang w:val="en-GB"/>
        </w:rPr>
      </w:pPr>
      <w:r w:rsidRPr="002D2219">
        <w:rPr>
          <w:lang w:val="en-GB"/>
        </w:rPr>
        <w:t>Conclusions</w:t>
      </w:r>
    </w:p>
    <w:p w14:paraId="7D20FE6C" w14:textId="494E5BBB" w:rsidR="007D38AB" w:rsidRDefault="007D38AB" w:rsidP="00600535">
      <w:pPr>
        <w:pStyle w:val="CETBodytext"/>
        <w:rPr>
          <w:lang w:val="en-GB"/>
        </w:rPr>
      </w:pPr>
      <w:r>
        <w:rPr>
          <w:lang w:val="en-GB"/>
        </w:rPr>
        <w:t>Presented methodology for software assisted determination of transfer function parameters as well as the PID tuning parameters greatly simplifies the procedure.</w:t>
      </w:r>
      <w:r w:rsidRPr="007D38AB">
        <w:t xml:space="preserve"> </w:t>
      </w:r>
      <w:r>
        <w:t xml:space="preserve">The programs are user </w:t>
      </w:r>
      <w:r w:rsidRPr="007D38AB">
        <w:rPr>
          <w:lang w:val="en-GB"/>
        </w:rPr>
        <w:t xml:space="preserve">friendly, easy to understand and very helpful in visualizing processes and control methods which are sometimes rather abstract to students. </w:t>
      </w:r>
      <w:r>
        <w:rPr>
          <w:lang w:val="en-GB"/>
        </w:rPr>
        <w:t>The fact that the process can be simulated in Simcet and then analysed in Pitops gives an opportunity to safely practice and upgrade</w:t>
      </w:r>
      <w:r w:rsidR="00E6790F">
        <w:rPr>
          <w:lang w:val="en-GB"/>
        </w:rPr>
        <w:t xml:space="preserve"> their</w:t>
      </w:r>
      <w:r>
        <w:rPr>
          <w:lang w:val="en-GB"/>
        </w:rPr>
        <w:t xml:space="preserve"> </w:t>
      </w:r>
      <w:r w:rsidR="002A0703">
        <w:rPr>
          <w:lang w:val="en-GB"/>
        </w:rPr>
        <w:t xml:space="preserve">tuning skills. </w:t>
      </w:r>
    </w:p>
    <w:p w14:paraId="4F1327F8" w14:textId="77777777" w:rsidR="00600535" w:rsidRPr="002D2219" w:rsidRDefault="00600535" w:rsidP="00600535">
      <w:pPr>
        <w:pStyle w:val="CETReference"/>
      </w:pPr>
      <w:r w:rsidRPr="002D2219">
        <w:t>References</w:t>
      </w:r>
    </w:p>
    <w:p w14:paraId="794ACFB2" w14:textId="765EA0D9" w:rsidR="004C519E" w:rsidRPr="0015191F" w:rsidRDefault="004C519E" w:rsidP="0015191F">
      <w:pPr>
        <w:pStyle w:val="CETReferencetext"/>
      </w:pPr>
      <w:r w:rsidRPr="0015191F">
        <w:t xml:space="preserve">Čelan A., 2020, Dinamički modeli za analizu i vođenje procesa, </w:t>
      </w:r>
      <w:r w:rsidR="0015191F" w:rsidRPr="0015191F">
        <w:t>Kemija u industriji, 69 (9-10) 589–589.</w:t>
      </w:r>
    </w:p>
    <w:p w14:paraId="5040BAC3" w14:textId="0DB1CE7A" w:rsidR="001A3886" w:rsidRPr="0015191F" w:rsidRDefault="001A3886" w:rsidP="0015191F">
      <w:pPr>
        <w:pStyle w:val="CETReferencetext"/>
      </w:pPr>
      <w:r w:rsidRPr="0015191F">
        <w:t>Healy M., 2011, Performance Analysis of Batch Reactor Temperature Control Systems, Masters Dissertation. Technological University Dublin, 12–13.</w:t>
      </w:r>
    </w:p>
    <w:p w14:paraId="1D117D6F" w14:textId="56A4C42A" w:rsidR="004C519E" w:rsidRPr="0015191F" w:rsidRDefault="004C519E" w:rsidP="0015191F">
      <w:pPr>
        <w:pStyle w:val="CETReferencetext"/>
      </w:pPr>
      <w:r w:rsidRPr="0015191F">
        <w:t>Liptak B.G. (Ed.), 2006, Instrument Engineers' Handbook, Process Control and Optimization, Vol. 2., 4th Edition-CRC Press.</w:t>
      </w:r>
    </w:p>
    <w:p w14:paraId="70123369" w14:textId="010A4D5F" w:rsidR="00365938" w:rsidRPr="0015191F" w:rsidRDefault="00365938" w:rsidP="0015191F">
      <w:pPr>
        <w:pStyle w:val="CETReferencetext"/>
      </w:pPr>
      <w:r w:rsidRPr="0015191F">
        <w:t>Miccio M., Cascone G., Cosenza B., Forte M., Fragranza M., Brachi P., Celan A., 2019, Process Measuring, Monitoring and Control at Lab-scale: an Added Value for Practical Training, Chemical Engineering Transactions, 74, 1267</w:t>
      </w:r>
      <w:r w:rsidR="001A3886" w:rsidRPr="0015191F">
        <w:t>–</w:t>
      </w:r>
      <w:r w:rsidRPr="0015191F">
        <w:t xml:space="preserve">1272.  </w:t>
      </w:r>
    </w:p>
    <w:p w14:paraId="19C4FC68" w14:textId="2664732D" w:rsidR="004628D2" w:rsidRPr="002D2219" w:rsidRDefault="00A63140" w:rsidP="0015191F">
      <w:pPr>
        <w:pStyle w:val="CETReferencetext"/>
      </w:pPr>
      <w:r w:rsidRPr="0015191F">
        <w:t>Seborg D.E., Edgar T.F., Mellichamp D.A., Doyle F.J., 2016, Process Dynamics and Control, 4th Edition</w:t>
      </w:r>
      <w:r w:rsidR="00360DCD" w:rsidRPr="0015191F">
        <w:t>, Wiley, USA, 206</w:t>
      </w:r>
      <w:r w:rsidR="001A3886" w:rsidRPr="0015191F">
        <w:t>–</w:t>
      </w:r>
      <w:r w:rsidR="00360DCD" w:rsidRPr="0015191F">
        <w:t>210.</w:t>
      </w:r>
    </w:p>
    <w:sectPr w:rsidR="004628D2" w:rsidRPr="002D2219"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8B82F" w14:textId="77777777" w:rsidR="00477BD9" w:rsidRDefault="00477BD9" w:rsidP="004F5E36">
      <w:r>
        <w:separator/>
      </w:r>
    </w:p>
  </w:endnote>
  <w:endnote w:type="continuationSeparator" w:id="0">
    <w:p w14:paraId="58F3F06F" w14:textId="77777777" w:rsidR="00477BD9" w:rsidRDefault="00477BD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BFDBF" w14:textId="77777777" w:rsidR="00477BD9" w:rsidRDefault="00477BD9" w:rsidP="004F5E36">
      <w:r>
        <w:separator/>
      </w:r>
    </w:p>
  </w:footnote>
  <w:footnote w:type="continuationSeparator" w:id="0">
    <w:p w14:paraId="6552B961" w14:textId="77777777" w:rsidR="00477BD9" w:rsidRDefault="00477BD9"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371CB"/>
    <w:rsid w:val="00045F63"/>
    <w:rsid w:val="00051566"/>
    <w:rsid w:val="00052724"/>
    <w:rsid w:val="000562A9"/>
    <w:rsid w:val="000608E3"/>
    <w:rsid w:val="00062A9A"/>
    <w:rsid w:val="00064E95"/>
    <w:rsid w:val="00065058"/>
    <w:rsid w:val="00086C39"/>
    <w:rsid w:val="000A03B2"/>
    <w:rsid w:val="000A079B"/>
    <w:rsid w:val="000B32B2"/>
    <w:rsid w:val="000D0268"/>
    <w:rsid w:val="000D34BE"/>
    <w:rsid w:val="000E102F"/>
    <w:rsid w:val="000E25A7"/>
    <w:rsid w:val="000E36F1"/>
    <w:rsid w:val="000E3A73"/>
    <w:rsid w:val="000E414A"/>
    <w:rsid w:val="000F07DD"/>
    <w:rsid w:val="000F093C"/>
    <w:rsid w:val="000F273C"/>
    <w:rsid w:val="000F2CCE"/>
    <w:rsid w:val="000F787B"/>
    <w:rsid w:val="0012091F"/>
    <w:rsid w:val="00126BC2"/>
    <w:rsid w:val="001308B6"/>
    <w:rsid w:val="0013121F"/>
    <w:rsid w:val="00131FE6"/>
    <w:rsid w:val="0013263F"/>
    <w:rsid w:val="001331DF"/>
    <w:rsid w:val="00134DE4"/>
    <w:rsid w:val="0013705A"/>
    <w:rsid w:val="0014034D"/>
    <w:rsid w:val="00144D16"/>
    <w:rsid w:val="00150E59"/>
    <w:rsid w:val="0015191F"/>
    <w:rsid w:val="00152DE3"/>
    <w:rsid w:val="00164CF9"/>
    <w:rsid w:val="001667A6"/>
    <w:rsid w:val="00184AD6"/>
    <w:rsid w:val="001A0CAE"/>
    <w:rsid w:val="001A3886"/>
    <w:rsid w:val="001A4AF7"/>
    <w:rsid w:val="001A55DD"/>
    <w:rsid w:val="001A7918"/>
    <w:rsid w:val="001B0349"/>
    <w:rsid w:val="001B1E93"/>
    <w:rsid w:val="001B4A5A"/>
    <w:rsid w:val="001B65C1"/>
    <w:rsid w:val="001B7C8D"/>
    <w:rsid w:val="001C13A5"/>
    <w:rsid w:val="001C684B"/>
    <w:rsid w:val="001D0CFB"/>
    <w:rsid w:val="001D1CF8"/>
    <w:rsid w:val="001D21AF"/>
    <w:rsid w:val="001D53FC"/>
    <w:rsid w:val="001F42A5"/>
    <w:rsid w:val="001F7B9D"/>
    <w:rsid w:val="00200E61"/>
    <w:rsid w:val="00201C93"/>
    <w:rsid w:val="002224B4"/>
    <w:rsid w:val="00227A65"/>
    <w:rsid w:val="002447EF"/>
    <w:rsid w:val="00251550"/>
    <w:rsid w:val="00263B05"/>
    <w:rsid w:val="0027221A"/>
    <w:rsid w:val="00275B61"/>
    <w:rsid w:val="00280FAF"/>
    <w:rsid w:val="00282656"/>
    <w:rsid w:val="00296B83"/>
    <w:rsid w:val="002A0703"/>
    <w:rsid w:val="002B4015"/>
    <w:rsid w:val="002B78CE"/>
    <w:rsid w:val="002C08F7"/>
    <w:rsid w:val="002C275D"/>
    <w:rsid w:val="002C2FB6"/>
    <w:rsid w:val="002D2219"/>
    <w:rsid w:val="002E011D"/>
    <w:rsid w:val="002E18CC"/>
    <w:rsid w:val="002E5FA7"/>
    <w:rsid w:val="002F3309"/>
    <w:rsid w:val="003008CE"/>
    <w:rsid w:val="003009B7"/>
    <w:rsid w:val="00300E56"/>
    <w:rsid w:val="0030152C"/>
    <w:rsid w:val="00304693"/>
    <w:rsid w:val="0030469C"/>
    <w:rsid w:val="00313709"/>
    <w:rsid w:val="00321CA6"/>
    <w:rsid w:val="00323763"/>
    <w:rsid w:val="00323C5F"/>
    <w:rsid w:val="00334C09"/>
    <w:rsid w:val="003529D0"/>
    <w:rsid w:val="00360DCD"/>
    <w:rsid w:val="00363266"/>
    <w:rsid w:val="00364074"/>
    <w:rsid w:val="00365938"/>
    <w:rsid w:val="003723D4"/>
    <w:rsid w:val="00381905"/>
    <w:rsid w:val="00384CC8"/>
    <w:rsid w:val="003865D4"/>
    <w:rsid w:val="003871FD"/>
    <w:rsid w:val="003A1E30"/>
    <w:rsid w:val="003A2829"/>
    <w:rsid w:val="003A4DC7"/>
    <w:rsid w:val="003A7D1C"/>
    <w:rsid w:val="003B304B"/>
    <w:rsid w:val="003B3146"/>
    <w:rsid w:val="003C0062"/>
    <w:rsid w:val="003C7C53"/>
    <w:rsid w:val="003D44A6"/>
    <w:rsid w:val="003E2D69"/>
    <w:rsid w:val="003F015E"/>
    <w:rsid w:val="00400414"/>
    <w:rsid w:val="00402560"/>
    <w:rsid w:val="00411D8D"/>
    <w:rsid w:val="0041446B"/>
    <w:rsid w:val="0044071E"/>
    <w:rsid w:val="00442C74"/>
    <w:rsid w:val="0044329C"/>
    <w:rsid w:val="00446151"/>
    <w:rsid w:val="00447032"/>
    <w:rsid w:val="00453E24"/>
    <w:rsid w:val="00457456"/>
    <w:rsid w:val="004577FE"/>
    <w:rsid w:val="00457B9C"/>
    <w:rsid w:val="0046164A"/>
    <w:rsid w:val="004628D2"/>
    <w:rsid w:val="00462DCD"/>
    <w:rsid w:val="004648AD"/>
    <w:rsid w:val="0047009E"/>
    <w:rsid w:val="004703A9"/>
    <w:rsid w:val="004760DE"/>
    <w:rsid w:val="004763D7"/>
    <w:rsid w:val="00477BD9"/>
    <w:rsid w:val="00484F78"/>
    <w:rsid w:val="004A004E"/>
    <w:rsid w:val="004A24CF"/>
    <w:rsid w:val="004A2B9E"/>
    <w:rsid w:val="004C3D1D"/>
    <w:rsid w:val="004C3D84"/>
    <w:rsid w:val="004C519E"/>
    <w:rsid w:val="004C63ED"/>
    <w:rsid w:val="004C7913"/>
    <w:rsid w:val="004D5174"/>
    <w:rsid w:val="004D51A0"/>
    <w:rsid w:val="004E1DCD"/>
    <w:rsid w:val="004E4DD6"/>
    <w:rsid w:val="004F2528"/>
    <w:rsid w:val="004F3A0E"/>
    <w:rsid w:val="004F3AE6"/>
    <w:rsid w:val="004F5E36"/>
    <w:rsid w:val="00507B47"/>
    <w:rsid w:val="00507BEF"/>
    <w:rsid w:val="00507CC9"/>
    <w:rsid w:val="005119A5"/>
    <w:rsid w:val="00515892"/>
    <w:rsid w:val="00515DD8"/>
    <w:rsid w:val="005278B7"/>
    <w:rsid w:val="005309E0"/>
    <w:rsid w:val="00532016"/>
    <w:rsid w:val="005346C8"/>
    <w:rsid w:val="005364AB"/>
    <w:rsid w:val="00543330"/>
    <w:rsid w:val="00543E7D"/>
    <w:rsid w:val="00544322"/>
    <w:rsid w:val="00547A68"/>
    <w:rsid w:val="005531C9"/>
    <w:rsid w:val="005675B5"/>
    <w:rsid w:val="00570C43"/>
    <w:rsid w:val="00581248"/>
    <w:rsid w:val="005A6871"/>
    <w:rsid w:val="005B2110"/>
    <w:rsid w:val="005B61E6"/>
    <w:rsid w:val="005C0C89"/>
    <w:rsid w:val="005C77E1"/>
    <w:rsid w:val="005D668A"/>
    <w:rsid w:val="005D6A2F"/>
    <w:rsid w:val="005E1A82"/>
    <w:rsid w:val="005E794C"/>
    <w:rsid w:val="005F0A28"/>
    <w:rsid w:val="005F0E5E"/>
    <w:rsid w:val="005F21C1"/>
    <w:rsid w:val="00600535"/>
    <w:rsid w:val="006057AF"/>
    <w:rsid w:val="00610CD6"/>
    <w:rsid w:val="00615470"/>
    <w:rsid w:val="00620DEE"/>
    <w:rsid w:val="00621F92"/>
    <w:rsid w:val="0062280A"/>
    <w:rsid w:val="00624B71"/>
    <w:rsid w:val="00625639"/>
    <w:rsid w:val="00631B33"/>
    <w:rsid w:val="0064184D"/>
    <w:rsid w:val="006422CC"/>
    <w:rsid w:val="00655EAF"/>
    <w:rsid w:val="00660E3E"/>
    <w:rsid w:val="00662E74"/>
    <w:rsid w:val="00663EC3"/>
    <w:rsid w:val="00671D09"/>
    <w:rsid w:val="00674D3C"/>
    <w:rsid w:val="00680C23"/>
    <w:rsid w:val="0068297D"/>
    <w:rsid w:val="00691114"/>
    <w:rsid w:val="00693766"/>
    <w:rsid w:val="006A3281"/>
    <w:rsid w:val="006B4888"/>
    <w:rsid w:val="006C044C"/>
    <w:rsid w:val="006C2E45"/>
    <w:rsid w:val="006C359C"/>
    <w:rsid w:val="006C5579"/>
    <w:rsid w:val="006C7B98"/>
    <w:rsid w:val="006D6B19"/>
    <w:rsid w:val="006D6E8B"/>
    <w:rsid w:val="006E737D"/>
    <w:rsid w:val="006F3B50"/>
    <w:rsid w:val="00713973"/>
    <w:rsid w:val="00717320"/>
    <w:rsid w:val="00720A24"/>
    <w:rsid w:val="00722637"/>
    <w:rsid w:val="00732386"/>
    <w:rsid w:val="0073514D"/>
    <w:rsid w:val="007447F3"/>
    <w:rsid w:val="0075236E"/>
    <w:rsid w:val="0075499F"/>
    <w:rsid w:val="007661C8"/>
    <w:rsid w:val="0077098D"/>
    <w:rsid w:val="007931FA"/>
    <w:rsid w:val="007A4861"/>
    <w:rsid w:val="007A7BBA"/>
    <w:rsid w:val="007B0C50"/>
    <w:rsid w:val="007B48F9"/>
    <w:rsid w:val="007B72C6"/>
    <w:rsid w:val="007C1A43"/>
    <w:rsid w:val="007D0951"/>
    <w:rsid w:val="007D38AB"/>
    <w:rsid w:val="007E7BA5"/>
    <w:rsid w:val="007F628D"/>
    <w:rsid w:val="0080013E"/>
    <w:rsid w:val="00813288"/>
    <w:rsid w:val="008168FC"/>
    <w:rsid w:val="00830996"/>
    <w:rsid w:val="008345F1"/>
    <w:rsid w:val="00865B07"/>
    <w:rsid w:val="008667EA"/>
    <w:rsid w:val="0087637F"/>
    <w:rsid w:val="0088322C"/>
    <w:rsid w:val="00892AD5"/>
    <w:rsid w:val="008A1512"/>
    <w:rsid w:val="008A65C2"/>
    <w:rsid w:val="008B6F6F"/>
    <w:rsid w:val="008D32B9"/>
    <w:rsid w:val="008D433B"/>
    <w:rsid w:val="008D4415"/>
    <w:rsid w:val="008D4A16"/>
    <w:rsid w:val="008E566E"/>
    <w:rsid w:val="0090161A"/>
    <w:rsid w:val="00901EB6"/>
    <w:rsid w:val="009031CE"/>
    <w:rsid w:val="00904C62"/>
    <w:rsid w:val="0091453E"/>
    <w:rsid w:val="00922A56"/>
    <w:rsid w:val="00922BA8"/>
    <w:rsid w:val="00924DAC"/>
    <w:rsid w:val="00927058"/>
    <w:rsid w:val="00927648"/>
    <w:rsid w:val="00942750"/>
    <w:rsid w:val="009450CE"/>
    <w:rsid w:val="009459BB"/>
    <w:rsid w:val="00947179"/>
    <w:rsid w:val="00950DC6"/>
    <w:rsid w:val="0095164B"/>
    <w:rsid w:val="00954090"/>
    <w:rsid w:val="009573E7"/>
    <w:rsid w:val="00963E05"/>
    <w:rsid w:val="00964A45"/>
    <w:rsid w:val="00967843"/>
    <w:rsid w:val="00967C96"/>
    <w:rsid w:val="00967D54"/>
    <w:rsid w:val="00971028"/>
    <w:rsid w:val="009800E2"/>
    <w:rsid w:val="00985FDD"/>
    <w:rsid w:val="00991C2C"/>
    <w:rsid w:val="009924DF"/>
    <w:rsid w:val="00993B84"/>
    <w:rsid w:val="00993CE2"/>
    <w:rsid w:val="00996483"/>
    <w:rsid w:val="00996F5A"/>
    <w:rsid w:val="009A30D4"/>
    <w:rsid w:val="009B041A"/>
    <w:rsid w:val="009B0FCF"/>
    <w:rsid w:val="009B7903"/>
    <w:rsid w:val="009C37C3"/>
    <w:rsid w:val="009C7C86"/>
    <w:rsid w:val="009D2FF7"/>
    <w:rsid w:val="009E7884"/>
    <w:rsid w:val="009E788A"/>
    <w:rsid w:val="009F0E08"/>
    <w:rsid w:val="009F1339"/>
    <w:rsid w:val="009F6F61"/>
    <w:rsid w:val="00A17171"/>
    <w:rsid w:val="00A1763D"/>
    <w:rsid w:val="00A17CEC"/>
    <w:rsid w:val="00A27EF0"/>
    <w:rsid w:val="00A3141D"/>
    <w:rsid w:val="00A31831"/>
    <w:rsid w:val="00A42361"/>
    <w:rsid w:val="00A50B20"/>
    <w:rsid w:val="00A51390"/>
    <w:rsid w:val="00A53CB6"/>
    <w:rsid w:val="00A54A58"/>
    <w:rsid w:val="00A60D13"/>
    <w:rsid w:val="00A63140"/>
    <w:rsid w:val="00A65C59"/>
    <w:rsid w:val="00A66D6F"/>
    <w:rsid w:val="00A7223D"/>
    <w:rsid w:val="00A72623"/>
    <w:rsid w:val="00A72745"/>
    <w:rsid w:val="00A76EFC"/>
    <w:rsid w:val="00A87D50"/>
    <w:rsid w:val="00A91010"/>
    <w:rsid w:val="00A97F29"/>
    <w:rsid w:val="00AA702E"/>
    <w:rsid w:val="00AA7D26"/>
    <w:rsid w:val="00AB0964"/>
    <w:rsid w:val="00AB5011"/>
    <w:rsid w:val="00AC6B73"/>
    <w:rsid w:val="00AC7368"/>
    <w:rsid w:val="00AD16B9"/>
    <w:rsid w:val="00AD3DBB"/>
    <w:rsid w:val="00AE377D"/>
    <w:rsid w:val="00AF0EBA"/>
    <w:rsid w:val="00B02C8A"/>
    <w:rsid w:val="00B17FBD"/>
    <w:rsid w:val="00B315A6"/>
    <w:rsid w:val="00B31813"/>
    <w:rsid w:val="00B33365"/>
    <w:rsid w:val="00B42281"/>
    <w:rsid w:val="00B57B36"/>
    <w:rsid w:val="00B57E6F"/>
    <w:rsid w:val="00B61EA2"/>
    <w:rsid w:val="00B67FF2"/>
    <w:rsid w:val="00B8686D"/>
    <w:rsid w:val="00B93F69"/>
    <w:rsid w:val="00B977D4"/>
    <w:rsid w:val="00BA0478"/>
    <w:rsid w:val="00BB1DDC"/>
    <w:rsid w:val="00BC30C9"/>
    <w:rsid w:val="00BD077D"/>
    <w:rsid w:val="00BE2F02"/>
    <w:rsid w:val="00BE3E58"/>
    <w:rsid w:val="00C01616"/>
    <w:rsid w:val="00C0162B"/>
    <w:rsid w:val="00C0608A"/>
    <w:rsid w:val="00C068ED"/>
    <w:rsid w:val="00C12016"/>
    <w:rsid w:val="00C14094"/>
    <w:rsid w:val="00C22E0C"/>
    <w:rsid w:val="00C345B1"/>
    <w:rsid w:val="00C40142"/>
    <w:rsid w:val="00C42B73"/>
    <w:rsid w:val="00C448B7"/>
    <w:rsid w:val="00C52C3C"/>
    <w:rsid w:val="00C530BE"/>
    <w:rsid w:val="00C57182"/>
    <w:rsid w:val="00C57863"/>
    <w:rsid w:val="00C640AF"/>
    <w:rsid w:val="00C655FD"/>
    <w:rsid w:val="00C66201"/>
    <w:rsid w:val="00C7422A"/>
    <w:rsid w:val="00C75407"/>
    <w:rsid w:val="00C870A8"/>
    <w:rsid w:val="00C94434"/>
    <w:rsid w:val="00CA0D75"/>
    <w:rsid w:val="00CA1C95"/>
    <w:rsid w:val="00CA5A9C"/>
    <w:rsid w:val="00CB1EE5"/>
    <w:rsid w:val="00CC23B0"/>
    <w:rsid w:val="00CC281C"/>
    <w:rsid w:val="00CC4C20"/>
    <w:rsid w:val="00CD0BFB"/>
    <w:rsid w:val="00CD3517"/>
    <w:rsid w:val="00CD5FE2"/>
    <w:rsid w:val="00CE509E"/>
    <w:rsid w:val="00CE7C68"/>
    <w:rsid w:val="00D02B4C"/>
    <w:rsid w:val="00D040C4"/>
    <w:rsid w:val="00D062BE"/>
    <w:rsid w:val="00D20AD1"/>
    <w:rsid w:val="00D46B7E"/>
    <w:rsid w:val="00D57C84"/>
    <w:rsid w:val="00D6057D"/>
    <w:rsid w:val="00D66A42"/>
    <w:rsid w:val="00D673A7"/>
    <w:rsid w:val="00D71640"/>
    <w:rsid w:val="00D718BC"/>
    <w:rsid w:val="00D76B13"/>
    <w:rsid w:val="00D76C7B"/>
    <w:rsid w:val="00D81D21"/>
    <w:rsid w:val="00D836C5"/>
    <w:rsid w:val="00D84576"/>
    <w:rsid w:val="00D86359"/>
    <w:rsid w:val="00DA1399"/>
    <w:rsid w:val="00DA24C6"/>
    <w:rsid w:val="00DA4D7B"/>
    <w:rsid w:val="00DA64AF"/>
    <w:rsid w:val="00DD271C"/>
    <w:rsid w:val="00DE264A"/>
    <w:rsid w:val="00DF5072"/>
    <w:rsid w:val="00E02D18"/>
    <w:rsid w:val="00E041E7"/>
    <w:rsid w:val="00E0531D"/>
    <w:rsid w:val="00E055BE"/>
    <w:rsid w:val="00E074D8"/>
    <w:rsid w:val="00E14B28"/>
    <w:rsid w:val="00E23CA1"/>
    <w:rsid w:val="00E33463"/>
    <w:rsid w:val="00E35B9C"/>
    <w:rsid w:val="00E35C73"/>
    <w:rsid w:val="00E409A8"/>
    <w:rsid w:val="00E40BB3"/>
    <w:rsid w:val="00E421DE"/>
    <w:rsid w:val="00E50C12"/>
    <w:rsid w:val="00E57720"/>
    <w:rsid w:val="00E64257"/>
    <w:rsid w:val="00E65B91"/>
    <w:rsid w:val="00E6790F"/>
    <w:rsid w:val="00E7029B"/>
    <w:rsid w:val="00E7209D"/>
    <w:rsid w:val="00E72EAD"/>
    <w:rsid w:val="00E77223"/>
    <w:rsid w:val="00E8528B"/>
    <w:rsid w:val="00E85B94"/>
    <w:rsid w:val="00E9178C"/>
    <w:rsid w:val="00E978D0"/>
    <w:rsid w:val="00EA4613"/>
    <w:rsid w:val="00EA7F91"/>
    <w:rsid w:val="00EB1523"/>
    <w:rsid w:val="00EC0E49"/>
    <w:rsid w:val="00EC101F"/>
    <w:rsid w:val="00EC1D9F"/>
    <w:rsid w:val="00EC758B"/>
    <w:rsid w:val="00EC7624"/>
    <w:rsid w:val="00ED40C8"/>
    <w:rsid w:val="00EE0131"/>
    <w:rsid w:val="00EE17B0"/>
    <w:rsid w:val="00EE3FCF"/>
    <w:rsid w:val="00EF06D9"/>
    <w:rsid w:val="00F17814"/>
    <w:rsid w:val="00F21693"/>
    <w:rsid w:val="00F3049E"/>
    <w:rsid w:val="00F30C64"/>
    <w:rsid w:val="00F32BA2"/>
    <w:rsid w:val="00F32CDB"/>
    <w:rsid w:val="00F51F5F"/>
    <w:rsid w:val="00F565FE"/>
    <w:rsid w:val="00F57BFF"/>
    <w:rsid w:val="00F63A70"/>
    <w:rsid w:val="00F63D8C"/>
    <w:rsid w:val="00F7534E"/>
    <w:rsid w:val="00F8106B"/>
    <w:rsid w:val="00F82E62"/>
    <w:rsid w:val="00F835F8"/>
    <w:rsid w:val="00F93EDF"/>
    <w:rsid w:val="00FA1802"/>
    <w:rsid w:val="00FA21D0"/>
    <w:rsid w:val="00FA5F5F"/>
    <w:rsid w:val="00FB71C5"/>
    <w:rsid w:val="00FB730C"/>
    <w:rsid w:val="00FC2695"/>
    <w:rsid w:val="00FC3E03"/>
    <w:rsid w:val="00FC3FC1"/>
    <w:rsid w:val="00FD3B98"/>
    <w:rsid w:val="00FE367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5A6871"/>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53586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antonija.celan@ktf-split.h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AB0EB-3FB0-46BE-9E4F-2835CC728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2922</Words>
  <Characters>16656</Characters>
  <Application>Microsoft Office Word</Application>
  <DocSecurity>0</DocSecurity>
  <Lines>138</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Antonija Čelan</cp:lastModifiedBy>
  <cp:revision>3</cp:revision>
  <cp:lastPrinted>2015-05-12T18:31:00Z</cp:lastPrinted>
  <dcterms:created xsi:type="dcterms:W3CDTF">2023-03-08T12:44:00Z</dcterms:created>
  <dcterms:modified xsi:type="dcterms:W3CDTF">2023-03-08T12:52:00Z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